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left"/>
        <w:rPr>
          <w:color w:val="000000"/>
        </w:rPr>
      </w:pPr>
      <w:r>
        <w:rPr>
          <w:rFonts w:ascii="Arial" w:hAnsi="Arial"/>
          <w:b/>
          <w:bCs/>
          <w:color w:val="000000"/>
        </w:rPr>
        <w:t>Jednostka projektowa:</w:t>
      </w:r>
    </w:p>
    <w:p>
      <w:pPr>
        <w:pStyle w:val="Normal"/>
        <w:spacing w:lineRule="auto" w:line="24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PRACOWNIA PROJEKTOWA IMPULS</w:t>
      </w:r>
    </w:p>
    <w:p>
      <w:pPr>
        <w:pStyle w:val="Normal"/>
        <w:spacing w:lineRule="auto" w:line="24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arch. Dariusz Zniszczoł</w:t>
      </w:r>
    </w:p>
    <w:p>
      <w:pPr>
        <w:pStyle w:val="Normal"/>
        <w:spacing w:lineRule="auto" w:line="24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ul. Gwarków 9</w:t>
      </w:r>
    </w:p>
    <w:p>
      <w:pPr>
        <w:pStyle w:val="Normal"/>
        <w:suppressAutoHyphens w:val="true"/>
        <w:spacing w:lineRule="auto" w:line="240"/>
        <w:jc w:val="left"/>
        <w:rPr/>
      </w:pPr>
      <w:r>
        <w:rPr>
          <w:rStyle w:val="Domylnaczcionkaakapitu"/>
          <w:rFonts w:eastAsia="NSimSun" w:cs="Lucida San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44-245 Żory</w:t>
      </w:r>
    </w:p>
    <w:p>
      <w:pPr>
        <w:pStyle w:val="Tretekstu"/>
        <w:suppressAutoHyphens w:val="true"/>
        <w:bidi w:val="0"/>
        <w:spacing w:lineRule="auto" w:line="276"/>
        <w:jc w:val="both"/>
        <w:rPr>
          <w:rFonts w:ascii="Arial" w:hAnsi="Arial" w:cs="Arial"/>
          <w:b/>
          <w:b/>
          <w:bCs/>
          <w:color w:val="000000"/>
          <w:sz w:val="27"/>
          <w:szCs w:val="27"/>
        </w:rPr>
      </w:pPr>
      <w:r>
        <w:rPr>
          <w:rFonts w:cs="Arial" w:ascii="Arial" w:hAnsi="Arial"/>
          <w:b/>
          <w:bCs/>
          <w:color w:val="000000"/>
          <w:sz w:val="27"/>
          <w:szCs w:val="27"/>
        </w:rPr>
      </w:r>
    </w:p>
    <w:p>
      <w:pPr>
        <w:pStyle w:val="Normal"/>
        <w:spacing w:lineRule="auto" w:line="360"/>
        <w:jc w:val="center"/>
        <w:rPr>
          <w:color w:val="000000"/>
        </w:rPr>
      </w:pPr>
      <w:r>
        <w:rPr>
          <w:rFonts w:ascii="Arial" w:hAnsi="Arial"/>
          <w:b/>
          <w:bCs/>
          <w:color w:val="000000"/>
          <w:sz w:val="28"/>
          <w:szCs w:val="28"/>
          <w:u w:val="single"/>
        </w:rPr>
        <w:t xml:space="preserve">STRONA TYTUŁOWA PROJEKTU </w:t>
      </w:r>
      <w:r>
        <w:rPr>
          <w:rFonts w:eastAsia="NSimSun" w:cs="Lucida Sans" w:ascii="Arial" w:hAnsi="Arial"/>
          <w:b/>
          <w:bCs/>
          <w:color w:val="000000"/>
          <w:kern w:val="2"/>
          <w:sz w:val="28"/>
          <w:szCs w:val="28"/>
          <w:u w:val="single"/>
          <w:lang w:val="pl-PL" w:eastAsia="zh-CN" w:bidi="hi-IN"/>
        </w:rPr>
        <w:t>TECHNICZNEGO</w:t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 w:eastAsia="NSimSun" w:cs="Lucida Sans"/>
          <w:b/>
          <w:b/>
          <w:bCs/>
          <w:color w:val="000000"/>
          <w:kern w:val="2"/>
          <w:sz w:val="28"/>
          <w:szCs w:val="28"/>
          <w:lang w:val="pl-PL" w:eastAsia="zh-CN" w:bidi="hi-IN"/>
        </w:rPr>
      </w:pPr>
      <w:r>
        <w:rPr>
          <w:rFonts w:eastAsia="NSimSun" w:cs="Lucida Sans" w:ascii="Arial" w:hAnsi="Arial"/>
          <w:b/>
          <w:bCs/>
          <w:color w:val="000000"/>
          <w:kern w:val="2"/>
          <w:sz w:val="28"/>
          <w:szCs w:val="28"/>
          <w:lang w:val="pl-PL" w:eastAsia="zh-CN" w:bidi="hi-IN"/>
        </w:rPr>
        <w:t>BRANŻA ARCHITEKTONICZNA</w:t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color w:val="000000"/>
        </w:rPr>
      </w:pPr>
      <w:r>
        <w:rPr>
          <w:rFonts w:ascii="Arial" w:hAnsi="Arial"/>
          <w:b/>
          <w:bCs/>
          <w:color w:val="000000"/>
        </w:rPr>
        <w:t>Nazwa zamierzenia budowlanego:</w:t>
      </w:r>
    </w:p>
    <w:p>
      <w:pPr>
        <w:pStyle w:val="Normal"/>
        <w:suppressAutoHyphens w:val="true"/>
        <w:spacing w:lineRule="auto" w:line="240"/>
        <w:rPr>
          <w:color w:val="000000"/>
        </w:rPr>
      </w:pPr>
      <w:r>
        <w:rPr>
          <w:rFonts w:eastAsia="NSimSun" w:cs="Lucida Sans" w:ascii="Arial" w:hAnsi="Arial"/>
          <w:b/>
          <w:bCs/>
          <w:color w:val="000000"/>
          <w:kern w:val="2"/>
          <w:sz w:val="32"/>
          <w:szCs w:val="32"/>
          <w:lang w:val="pl-PL" w:eastAsia="zh-CN" w:bidi="hi-IN"/>
        </w:rPr>
        <w:t xml:space="preserve">Przebudowa oraz rozbudowa budynku zaplecza stadionu lekkoatletycznego </w:t>
      </w:r>
    </w:p>
    <w:p>
      <w:pPr>
        <w:pStyle w:val="Normal"/>
        <w:suppressAutoHyphens w:val="true"/>
        <w:spacing w:lineRule="auto" w:line="360"/>
        <w:jc w:val="both"/>
        <w:rPr>
          <w:rFonts w:ascii="Arial" w:hAnsi="Arial"/>
          <w:b/>
          <w:b/>
          <w:color w:val="000000"/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</w:r>
    </w:p>
    <w:p>
      <w:pPr>
        <w:pStyle w:val="Normalny"/>
        <w:suppressAutoHyphens w:val="true"/>
        <w:spacing w:lineRule="auto" w:line="360"/>
        <w:rPr/>
      </w:pPr>
      <w:r>
        <w:rPr>
          <w:rStyle w:val="Domylnaczcionkaakapitu"/>
          <w:rFonts w:ascii="Arial" w:hAnsi="Arial"/>
          <w:b/>
          <w:bCs/>
          <w:color w:val="000000"/>
        </w:rPr>
        <w:t>Adres inwestycji:</w:t>
      </w:r>
      <w:r>
        <w:rPr>
          <w:rStyle w:val="Domylnaczcionkaakapitu"/>
          <w:rFonts w:ascii="Arial" w:hAnsi="Arial"/>
          <w:color w:val="000000"/>
        </w:rPr>
        <w:t xml:space="preserve"> ul. Strzelców Bytomskich 2A, 47-100 Strzelce Opolskie, działka nr 311</w:t>
      </w:r>
    </w:p>
    <w:p>
      <w:pPr>
        <w:pStyle w:val="Normalny"/>
        <w:suppressAutoHyphens w:val="true"/>
        <w:spacing w:lineRule="auto" w:line="360"/>
        <w:rPr/>
      </w:pPr>
      <w:r>
        <w:rPr>
          <w:rStyle w:val="Domylnaczcionkaakapitu"/>
          <w:rFonts w:ascii="Arial" w:hAnsi="Arial"/>
          <w:b/>
          <w:bCs/>
          <w:color w:val="000000"/>
        </w:rPr>
        <w:t>Kategoria obiektu budowlanego:</w:t>
      </w:r>
      <w:r>
        <w:rPr>
          <w:rStyle w:val="Domylnaczcionkaakapitu"/>
          <w:rFonts w:ascii="Arial" w:hAnsi="Arial"/>
          <w:b w:val="false"/>
          <w:bCs w:val="false"/>
          <w:color w:val="000000"/>
        </w:rPr>
        <w:t xml:space="preserve"> </w:t>
      </w:r>
      <w:r>
        <w:rPr>
          <w:rStyle w:val="Domylnaczcionkaakapitu"/>
          <w:rFonts w:ascii="Arial" w:hAnsi="Arial"/>
          <w:b w:val="false"/>
          <w:bCs w:val="false"/>
          <w:color w:val="000000"/>
          <w:kern w:val="2"/>
        </w:rPr>
        <w:t>V</w:t>
      </w:r>
    </w:p>
    <w:p>
      <w:pPr>
        <w:pStyle w:val="Normalny"/>
        <w:suppressAutoHyphens w:val="true"/>
        <w:spacing w:lineRule="auto" w:line="360"/>
        <w:rPr/>
      </w:pPr>
      <w:r>
        <w:rPr>
          <w:rStyle w:val="Domylnaczcionkaakapitu"/>
          <w:rFonts w:ascii="Arial" w:hAnsi="Arial"/>
          <w:b/>
          <w:i w:val="false"/>
          <w:caps w:val="false"/>
          <w:smallCaps w:val="false"/>
          <w:color w:val="000000"/>
          <w:spacing w:val="0"/>
          <w:kern w:val="2"/>
          <w:sz w:val="24"/>
          <w:szCs w:val="24"/>
        </w:rPr>
        <w:t>Identyfikator dział</w:t>
      </w:r>
      <w:r>
        <w:rPr>
          <w:rStyle w:val="Domylnaczcionkaakapitu"/>
          <w:rFonts w:eastAsia="NSimSun" w:cs="Arial Unicode MS" w:ascii="Arial" w:hAnsi="Arial"/>
          <w:b/>
          <w:i w:val="false"/>
          <w:caps w:val="false"/>
          <w:smallCaps w:val="false"/>
          <w:color w:val="000000"/>
          <w:spacing w:val="0"/>
          <w:kern w:val="2"/>
          <w:sz w:val="24"/>
          <w:szCs w:val="24"/>
          <w:lang w:val="pl-PL" w:eastAsia="zh-CN" w:bidi="hi-IN"/>
        </w:rPr>
        <w:t>ki</w:t>
      </w:r>
      <w:r>
        <w:rPr>
          <w:rStyle w:val="Domylnaczcionkaakapitu"/>
          <w:rFonts w:ascii="Arial" w:hAnsi="Arial"/>
          <w:b/>
          <w:i w:val="false"/>
          <w:caps w:val="false"/>
          <w:smallCaps w:val="false"/>
          <w:color w:val="000000"/>
          <w:spacing w:val="0"/>
          <w:kern w:val="2"/>
          <w:sz w:val="24"/>
          <w:szCs w:val="24"/>
        </w:rPr>
        <w:t xml:space="preserve"> </w:t>
      </w:r>
      <w:r>
        <w:rPr>
          <w:rStyle w:val="Domylnaczcionkaakapitu"/>
          <w:rFonts w:eastAsia="NSimSun" w:cs="Lucida Sans" w:ascii="Arial" w:hAnsi="Arial"/>
          <w:b/>
          <w:i w:val="false"/>
          <w:caps w:val="false"/>
          <w:smallCaps w:val="false"/>
          <w:color w:val="000000"/>
          <w:spacing w:val="0"/>
          <w:kern w:val="2"/>
          <w:sz w:val="24"/>
          <w:szCs w:val="24"/>
          <w:lang w:val="pl-PL" w:eastAsia="zh-CN" w:bidi="hi-IN"/>
        </w:rPr>
        <w:t xml:space="preserve">objętej inwestycją: </w:t>
      </w:r>
      <w:r>
        <w:rPr>
          <w:rStyle w:val="Domylnaczcionkaakapitu"/>
          <w:rFonts w:eastAsia="NSimSun" w:cs="Lucida Sans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lang w:val="pl-PL" w:eastAsia="zh-CN" w:bidi="hi-IN"/>
        </w:rPr>
        <w:t>161105_4.0082.311</w:t>
      </w:r>
    </w:p>
    <w:p>
      <w:pPr>
        <w:pStyle w:val="Normalny"/>
        <w:suppressAutoHyphens w:val="true"/>
        <w:spacing w:lineRule="auto" w:line="360"/>
        <w:rPr/>
      </w:pPr>
      <w:r>
        <w:rPr>
          <w:rStyle w:val="Domylnaczcionkaakapitu"/>
          <w:rFonts w:ascii="Arial" w:hAnsi="Arial"/>
          <w:b/>
          <w:bCs/>
          <w:color w:val="000000"/>
        </w:rPr>
        <w:t>Nazwa jednostki ewidencyjnej:</w:t>
      </w:r>
      <w:r>
        <w:rPr>
          <w:rStyle w:val="Domylnaczcionkaakapitu"/>
          <w:rFonts w:ascii="Arial" w:hAnsi="Arial"/>
          <w:color w:val="000000"/>
        </w:rPr>
        <w:t xml:space="preserve">  </w:t>
      </w:r>
      <w:r>
        <w:rPr>
          <w:rStyle w:val="Domylnaczcionkaakapitu"/>
          <w:rFonts w:eastAsia="NSimSun" w:cs="Lucida Sans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lang w:val="pl-PL" w:eastAsia="zh-CN" w:bidi="hi-IN"/>
        </w:rPr>
        <w:t>161105_4 STRZELCE OPOLSKIE – OBSZAR MIEJSKI</w:t>
      </w:r>
    </w:p>
    <w:p>
      <w:pPr>
        <w:pStyle w:val="Normalny"/>
        <w:suppressAutoHyphens w:val="true"/>
        <w:spacing w:lineRule="auto" w:line="360"/>
        <w:rPr/>
      </w:pPr>
      <w:r>
        <w:rPr>
          <w:rStyle w:val="Domylnaczcionkaakapitu"/>
          <w:rFonts w:ascii="Arial" w:hAnsi="Arial"/>
          <w:b/>
          <w:bCs/>
          <w:color w:val="000000"/>
          <w:kern w:val="2"/>
          <w:sz w:val="24"/>
        </w:rPr>
        <w:t xml:space="preserve">Nazwa i numer obrębu ewidencyjnego: </w:t>
      </w:r>
      <w:r>
        <w:rPr>
          <w:rStyle w:val="Domylnaczcionkaakapitu"/>
          <w:rFonts w:ascii="Arial" w:hAnsi="Arial"/>
          <w:b w:val="false"/>
          <w:bCs w:val="false"/>
          <w:color w:val="000000"/>
          <w:kern w:val="2"/>
          <w:sz w:val="24"/>
        </w:rPr>
        <w:t>161105_4.0082 S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TRZELCE OPOLSKIE</w:t>
      </w:r>
    </w:p>
    <w:p>
      <w:pPr>
        <w:pStyle w:val="Normalny"/>
        <w:suppressAutoHyphens w:val="true"/>
        <w:spacing w:lineRule="auto" w:line="240"/>
        <w:rPr/>
      </w:pPr>
      <w:r>
        <w:rPr>
          <w:rStyle w:val="Domylnaczcionkaakapitu"/>
          <w:rFonts w:ascii="Arial" w:hAnsi="Arial"/>
          <w:b/>
          <w:bCs/>
          <w:color w:val="000000"/>
        </w:rPr>
        <w:t>Inwestor:</w:t>
        <w:tab/>
      </w:r>
      <w:r>
        <w:rPr>
          <w:rStyle w:val="Domylnaczcionkaakapitu"/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Gmina Strzelce Opolskie</w:t>
      </w:r>
    </w:p>
    <w:p>
      <w:pPr>
        <w:pStyle w:val="Normalny"/>
        <w:suppressAutoHyphens w:val="true"/>
        <w:spacing w:lineRule="auto" w:line="240"/>
        <w:rPr/>
      </w:pPr>
      <w:r>
        <w:rPr>
          <w:rStyle w:val="Domylnaczcionkaakapitu"/>
          <w:rFonts w:ascii="Arial" w:hAnsi="Arial"/>
          <w:color w:val="000000"/>
        </w:rPr>
        <w:tab/>
        <w:tab/>
      </w:r>
      <w:r>
        <w:rPr>
          <w:rStyle w:val="Domylnaczcionkaakapitu"/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Plac Myśliwca 1</w:t>
      </w:r>
    </w:p>
    <w:p>
      <w:pPr>
        <w:pStyle w:val="Normalny"/>
        <w:suppressAutoHyphens w:val="true"/>
        <w:spacing w:lineRule="auto" w:line="240"/>
        <w:rPr/>
      </w:pP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ab/>
        <w:tab/>
        <w:t>47-100 Strzelce Opolskie</w:t>
      </w:r>
    </w:p>
    <w:p>
      <w:pPr>
        <w:pStyle w:val="Normalny"/>
        <w:suppressAutoHyphens w:val="true"/>
        <w:spacing w:lineRule="auto" w:line="240"/>
        <w:rPr>
          <w:rStyle w:val="Domylnaczcionkaakapitu"/>
          <w:rFonts w:ascii="Arial" w:hAnsi="Arial" w:eastAsia="NSimSun" w:cs="Lucida Sans"/>
          <w:b w:val="false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ny"/>
        <w:suppressAutoHyphens w:val="true"/>
        <w:spacing w:lineRule="auto" w:line="240"/>
        <w:rPr/>
      </w:pPr>
      <w:r>
        <w:rPr>
          <w:rStyle w:val="Domylnaczcionkaakapitu"/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Oświadczenie Projektanta</w:t>
      </w:r>
    </w:p>
    <w:p>
      <w:pPr>
        <w:pStyle w:val="Normalny"/>
        <w:suppressAutoHyphens w:val="true"/>
        <w:spacing w:lineRule="auto" w:line="240"/>
        <w:rPr/>
      </w:pP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Zgodnie z art. 34 ust. 3d pkt 3 ustawy z dnia 7 lipca 1994 r. Prawo budowlane (Dz.U.2019.0.1186) niniejszym oświadczam, że projekt budowlany został wykonany zgodnie z obowiązującymi przepisami oraz zasadami wiedzy technicznej. Jestem świadomy odpowiedzialności karnej za złożenie fałszywego oświadczenia.</w:t>
      </w:r>
    </w:p>
    <w:p>
      <w:pPr>
        <w:pStyle w:val="Normalny"/>
        <w:suppressAutoHyphens w:val="true"/>
        <w:spacing w:lineRule="auto" w:line="240"/>
        <w:rPr>
          <w:rFonts w:ascii="Arial" w:hAnsi="Arial" w:eastAsia="NSimSun" w:cs="Lucida Sans"/>
          <w:b w:val="false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r>
    </w:p>
    <w:tbl>
      <w:tblPr>
        <w:tblW w:w="9880" w:type="dxa"/>
        <w:jc w:val="left"/>
        <w:tblInd w:w="20" w:type="dxa"/>
        <w:tblCellMar>
          <w:top w:w="0" w:type="dxa"/>
          <w:left w:w="2" w:type="dxa"/>
          <w:bottom w:w="0" w:type="dxa"/>
          <w:right w:w="8" w:type="dxa"/>
        </w:tblCellMar>
      </w:tblPr>
      <w:tblGrid>
        <w:gridCol w:w="7433"/>
        <w:gridCol w:w="2446"/>
      </w:tblGrid>
      <w:tr>
        <w:trPr/>
        <w:tc>
          <w:tcPr>
            <w:tcW w:w="7433" w:type="dxa"/>
            <w:tcBorders/>
            <w:shd w:fill="FFFFFF" w:val="clear"/>
          </w:tcPr>
          <w:p>
            <w:pPr>
              <w:pStyle w:val="Textbody"/>
              <w:widowControl w:val="false"/>
              <w:suppressAutoHyphens w:val="true"/>
              <w:spacing w:lineRule="auto" w:line="276" w:before="0" w:after="0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Architektura – główny projektant</w:t>
            </w:r>
          </w:p>
          <w:p>
            <w:pPr>
              <w:pStyle w:val="Tretekstu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inż. arch. </w:t>
            </w:r>
            <w:r>
              <w:rPr>
                <w:rFonts w:eastAsia="NSimSun" w:cs="Lucida Sans" w:ascii="Arial" w:hAnsi="Arial"/>
                <w:b/>
                <w:bCs/>
                <w:i w:val="false"/>
                <w:iCs w:val="false"/>
                <w:color w:val="000000"/>
                <w:kern w:val="2"/>
                <w:sz w:val="24"/>
                <w:szCs w:val="24"/>
                <w:lang w:val="pl-PL" w:eastAsia="zh-CN" w:bidi="hi-IN"/>
              </w:rPr>
              <w:t>Dariusz Zniszczoł</w:t>
            </w:r>
          </w:p>
          <w:p>
            <w:pPr>
              <w:pStyle w:val="Tretekstu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color w:val="000000"/>
                <w:szCs w:val="20"/>
              </w:rPr>
            </w:pPr>
            <w:r>
              <w:rPr>
                <w:rFonts w:ascii="Arial" w:hAnsi="Arial"/>
                <w:i w:val="false"/>
                <w:iCs w:val="false"/>
                <w:color w:val="000000"/>
                <w:sz w:val="20"/>
                <w:szCs w:val="20"/>
              </w:rPr>
              <w:t xml:space="preserve">Uprawnienia budowlane bez ograniczeń nr </w:t>
            </w:r>
            <w:r>
              <w:rPr>
                <w:rFonts w:eastAsia="NSimSun" w:cs="Lucida Sans" w:ascii="Arial" w:hAnsi="Arial"/>
                <w:i w:val="false"/>
                <w:iCs w:val="false"/>
                <w:color w:val="000000"/>
                <w:kern w:val="2"/>
                <w:sz w:val="20"/>
                <w:szCs w:val="20"/>
                <w:lang w:val="pl-PL" w:eastAsia="zh-CN" w:bidi="hi-IN"/>
              </w:rPr>
              <w:t>62</w:t>
            </w:r>
            <w:r>
              <w:rPr>
                <w:rFonts w:ascii="Arial" w:hAnsi="Arial"/>
                <w:i w:val="false"/>
                <w:iCs w:val="false"/>
                <w:color w:val="000000"/>
                <w:sz w:val="20"/>
                <w:szCs w:val="20"/>
              </w:rPr>
              <w:t>/</w:t>
            </w:r>
            <w:r>
              <w:rPr>
                <w:rFonts w:eastAsia="NSimSun" w:cs="Lucida Sans" w:ascii="Arial" w:hAnsi="Arial"/>
                <w:i w:val="false"/>
                <w:iCs w:val="false"/>
                <w:color w:val="000000"/>
                <w:kern w:val="2"/>
                <w:sz w:val="20"/>
                <w:szCs w:val="20"/>
                <w:lang w:val="pl-PL" w:eastAsia="zh-CN" w:bidi="hi-IN"/>
              </w:rPr>
              <w:t>06</w:t>
            </w:r>
            <w:r>
              <w:rPr>
                <w:rFonts w:ascii="Arial" w:hAnsi="Arial"/>
                <w:i w:val="false"/>
                <w:iCs w:val="false"/>
                <w:color w:val="000000"/>
                <w:sz w:val="20"/>
                <w:szCs w:val="20"/>
              </w:rPr>
              <w:t>/</w:t>
            </w:r>
            <w:r>
              <w:rPr>
                <w:rFonts w:eastAsia="NSimSun" w:cs="Lucida Sans" w:ascii="Arial" w:hAnsi="Arial"/>
                <w:i w:val="false"/>
                <w:iCs w:val="false"/>
                <w:color w:val="000000"/>
                <w:kern w:val="2"/>
                <w:sz w:val="20"/>
                <w:szCs w:val="20"/>
                <w:lang w:val="pl-PL" w:eastAsia="zh-CN" w:bidi="hi-IN"/>
              </w:rPr>
              <w:t>SLOKK/II</w:t>
            </w:r>
            <w:r>
              <w:rPr>
                <w:rFonts w:ascii="Arial" w:hAnsi="Arial"/>
                <w:i w:val="false"/>
                <w:iCs w:val="false"/>
                <w:color w:val="000000"/>
                <w:sz w:val="20"/>
                <w:szCs w:val="20"/>
              </w:rPr>
              <w:br/>
              <w:t>w specjalności architektonicznej do projektowania bez ograniczeń</w:t>
            </w:r>
          </w:p>
          <w:p>
            <w:pPr>
              <w:pStyle w:val="Tretekstu"/>
              <w:widowControl w:val="false"/>
              <w:shd w:val="clear" w:fill="FFFFFF"/>
              <w:suppressAutoHyphens w:val="true"/>
              <w:bidi w:val="0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Style w:val="Domylnaczcionkaakapitu"/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eastAsia="pl-PL" w:bidi="pl-PL"/>
              </w:rPr>
              <w:t>Śląska Okręgowa Izba Architektów o numerze ewidencyjnym SL–</w:t>
            </w:r>
            <w:r>
              <w:rPr>
                <w:rStyle w:val="Domylnaczcionkaakapitu"/>
                <w:rFonts w:eastAsia="NSimSun" w:cs="Lucida Sans" w:ascii="Arial" w:hAnsi="Arial"/>
                <w:b w:val="false"/>
                <w:bCs w:val="false"/>
                <w:i w:val="false"/>
                <w:iCs w:val="false"/>
                <w:color w:val="000000"/>
                <w:kern w:val="2"/>
                <w:sz w:val="20"/>
                <w:szCs w:val="20"/>
                <w:lang w:val="pl-PL" w:eastAsia="zh-CN" w:bidi="hi-IN"/>
              </w:rPr>
              <w:t>1204</w:t>
            </w:r>
          </w:p>
        </w:tc>
        <w:tc>
          <w:tcPr>
            <w:tcW w:w="2446" w:type="dxa"/>
            <w:tcBorders/>
            <w:shd w:fill="FFFFFF" w:val="clear"/>
          </w:tcPr>
          <w:p>
            <w:pPr>
              <w:pStyle w:val="Textbody"/>
              <w:widowControl w:val="false"/>
              <w:suppressAutoHyphens w:val="true"/>
              <w:snapToGrid w:val="false"/>
              <w:spacing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</w:r>
          </w:p>
        </w:tc>
      </w:tr>
      <w:tr>
        <w:trPr/>
        <w:tc>
          <w:tcPr>
            <w:tcW w:w="7433" w:type="dxa"/>
            <w:tcBorders/>
            <w:shd w:fill="FFFFFF" w:val="clear"/>
          </w:tcPr>
          <w:p>
            <w:pPr>
              <w:pStyle w:val="Textbody"/>
              <w:widowControl w:val="false"/>
              <w:suppressAutoHyphens w:val="true"/>
              <w:spacing w:lineRule="auto" w:line="276"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Architektura – </w:t>
            </w:r>
            <w:r>
              <w:rPr>
                <w:rFonts w:eastAsia="Calibri" w:cs="Arial" w:ascii="Arial" w:hAnsi="Arial"/>
                <w:color w:val="000000"/>
                <w:kern w:val="0"/>
                <w:sz w:val="24"/>
                <w:szCs w:val="24"/>
                <w:lang w:val="pl-PL" w:eastAsia="zh-CN" w:bidi="ar-SA"/>
              </w:rPr>
              <w:t>sprawdzający</w:t>
            </w:r>
          </w:p>
          <w:p>
            <w:pPr>
              <w:pStyle w:val="Tretekstu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color w:val="000000"/>
                <w:sz w:val="24"/>
                <w:szCs w:val="24"/>
              </w:rPr>
              <w:t xml:space="preserve">mgr inż. arch. </w:t>
            </w:r>
            <w:r>
              <w:rPr>
                <w:rFonts w:eastAsia="NSimSun" w:cs="Lucida Sans" w:ascii="Arial" w:hAnsi="Arial"/>
                <w:b/>
                <w:bCs/>
                <w:i w:val="false"/>
                <w:iCs w:val="false"/>
                <w:color w:val="000000"/>
                <w:kern w:val="2"/>
                <w:sz w:val="24"/>
                <w:szCs w:val="24"/>
                <w:lang w:val="pl-PL" w:eastAsia="zh-CN" w:bidi="hi-IN"/>
              </w:rPr>
              <w:t>Krzysztof Całka</w:t>
            </w:r>
          </w:p>
          <w:p>
            <w:pPr>
              <w:pStyle w:val="Tretekstu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>
                <w:color w:val="000000"/>
                <w:szCs w:val="20"/>
              </w:rPr>
            </w:pPr>
            <w:r>
              <w:rPr>
                <w:rFonts w:ascii="Arial" w:hAnsi="Arial"/>
                <w:i w:val="false"/>
                <w:iCs w:val="false"/>
                <w:color w:val="000000"/>
                <w:sz w:val="20"/>
                <w:szCs w:val="20"/>
              </w:rPr>
              <w:t xml:space="preserve">Uprawnienia budowlane bez ograniczeń nr </w:t>
            </w:r>
            <w:r>
              <w:rPr>
                <w:rFonts w:eastAsia="NSimSun" w:cs="Lucida Sans" w:ascii="Arial" w:hAnsi="Arial"/>
                <w:i w:val="false"/>
                <w:iCs w:val="false"/>
                <w:color w:val="000000"/>
                <w:kern w:val="2"/>
                <w:sz w:val="20"/>
                <w:szCs w:val="20"/>
                <w:lang w:val="pl-PL" w:eastAsia="zh-CN" w:bidi="hi-IN"/>
              </w:rPr>
              <w:t>17/SLOKK/2014/II</w:t>
            </w:r>
            <w:r>
              <w:rPr>
                <w:rFonts w:ascii="Arial" w:hAnsi="Arial"/>
                <w:i w:val="false"/>
                <w:iCs w:val="false"/>
                <w:color w:val="000000"/>
                <w:sz w:val="20"/>
                <w:szCs w:val="20"/>
              </w:rPr>
              <w:br/>
              <w:t>w specjalności architektonicznej do projektowania bez ograniczeń</w:t>
            </w:r>
          </w:p>
          <w:p>
            <w:pPr>
              <w:pStyle w:val="Tretekstu"/>
              <w:widowControl w:val="false"/>
              <w:shd w:val="clear" w:fill="FFFFFF"/>
              <w:bidi w:val="0"/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Style w:val="Domylnaczcionkaakapitu"/>
                <w:rFonts w:cs="Arial" w:ascii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Śląska Okręgowa Izba Architektów o numerze ewidencyjnym SL–</w:t>
            </w:r>
            <w:r>
              <w:rPr>
                <w:rStyle w:val="Domylnaczcionkaakapitu"/>
                <w:rFonts w:eastAsia="NSimSun" w:cs="Lucida Sans" w:ascii="Arial" w:hAnsi="Arial"/>
                <w:b w:val="false"/>
                <w:bCs w:val="false"/>
                <w:i w:val="false"/>
                <w:iCs w:val="false"/>
                <w:color w:val="000000"/>
                <w:kern w:val="2"/>
                <w:sz w:val="20"/>
                <w:szCs w:val="20"/>
                <w:lang w:val="pl-PL" w:eastAsia="zh-CN" w:bidi="hi-IN"/>
              </w:rPr>
              <w:t>1940</w:t>
            </w:r>
          </w:p>
        </w:tc>
        <w:tc>
          <w:tcPr>
            <w:tcW w:w="2446" w:type="dxa"/>
            <w:tcBorders/>
            <w:shd w:fill="FFFFFF" w:val="clear"/>
          </w:tcPr>
          <w:p>
            <w:pPr>
              <w:pStyle w:val="Textbody"/>
              <w:widowControl w:val="false"/>
              <w:suppressAutoHyphens w:val="true"/>
              <w:snapToGrid w:val="false"/>
              <w:spacing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</w:r>
          </w:p>
        </w:tc>
      </w:tr>
    </w:tbl>
    <w:p>
      <w:pPr>
        <w:pStyle w:val="Normal"/>
        <w:suppressAutoHyphens w:val="true"/>
        <w:spacing w:lineRule="auto" w:line="360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spacing w:lineRule="auto" w:line="360"/>
        <w:rPr>
          <w:color w:val="000000"/>
        </w:rPr>
      </w:pPr>
      <w:r>
        <w:rPr>
          <w:rFonts w:ascii="Arial" w:hAnsi="Arial"/>
          <w:b/>
          <w:bCs/>
          <w:color w:val="000000"/>
          <w:sz w:val="32"/>
          <w:szCs w:val="32"/>
        </w:rPr>
        <w:t>NR PROJEKTU 349</w:t>
        <w:tab/>
        <w:tab/>
        <w:tab/>
        <w:tab/>
        <w:tab/>
        <w:t xml:space="preserve">EGZEMPLARZ  </w:t>
      </w:r>
      <w:r>
        <w:rPr>
          <w:rFonts w:eastAsia="NSimSun" w:cs="Lucida Sans" w:ascii="Arial" w:hAnsi="Arial"/>
          <w:b/>
          <w:bCs/>
          <w:color w:val="000000"/>
          <w:kern w:val="2"/>
          <w:sz w:val="32"/>
          <w:szCs w:val="32"/>
          <w:lang w:val="pl-PL" w:eastAsia="zh-CN" w:bidi="hi-IN"/>
        </w:rPr>
        <w:t>1</w:t>
      </w:r>
    </w:p>
    <w:p>
      <w:pPr>
        <w:pStyle w:val="Normal"/>
        <w:suppressAutoHyphens w:val="true"/>
        <w:spacing w:lineRule="auto" w:line="360"/>
        <w:jc w:val="center"/>
        <w:rPr/>
      </w:pP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Rybnik, Kwiecień 2022</w:t>
      </w:r>
      <w:r>
        <w:br w:type="page"/>
      </w:r>
    </w:p>
    <w:tbl>
      <w:tblPr>
        <w:tblW w:w="9638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573"/>
        <w:gridCol w:w="1064"/>
      </w:tblGrid>
      <w:tr>
        <w:trPr>
          <w:trHeight w:val="733" w:hRule="atLeast"/>
        </w:trPr>
        <w:tc>
          <w:tcPr>
            <w:tcW w:w="8573" w:type="dxa"/>
            <w:tcBorders/>
            <w:shd w:fill="auto" w:val="clear"/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360"/>
              <w:rPr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SPIS TREŚCI</w:t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2</w:t>
            </w:r>
          </w:p>
        </w:tc>
      </w:tr>
      <w:tr>
        <w:trPr/>
        <w:tc>
          <w:tcPr>
            <w:tcW w:w="85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rPr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ZAŁĄCZNIKI FORMALNO-PRAWNE</w:t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3</w:t>
            </w:r>
          </w:p>
        </w:tc>
      </w:tr>
      <w:tr>
        <w:trPr>
          <w:trHeight w:val="131" w:hRule="atLeast"/>
        </w:trPr>
        <w:tc>
          <w:tcPr>
            <w:tcW w:w="85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Zał. 1 </w:t>
              <w:tab/>
              <w:t>Oświadczenie projektanta</w:t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3.1</w:t>
            </w:r>
          </w:p>
        </w:tc>
      </w:tr>
      <w:tr>
        <w:trPr>
          <w:trHeight w:val="446" w:hRule="atLeast"/>
        </w:trPr>
        <w:tc>
          <w:tcPr>
            <w:tcW w:w="8573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</w:r>
          </w:p>
        </w:tc>
      </w:tr>
      <w:tr>
        <w:trPr/>
        <w:tc>
          <w:tcPr>
            <w:tcW w:w="85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rPr>
                <w:rFonts w:ascii="Arial" w:hAnsi="Arial"/>
                <w:b/>
                <w:b/>
                <w:bCs/>
                <w:color w:val="000000"/>
                <w:sz w:val="21"/>
                <w:szCs w:val="21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1"/>
                <w:szCs w:val="21"/>
              </w:rPr>
              <w:t xml:space="preserve">PROJEKT ZAGOSPODAROWANIA </w:t>
            </w:r>
            <w:r>
              <w:rPr>
                <w:rFonts w:eastAsia="NSimSun" w:cs="Lucida Sans" w:ascii="Arial" w:hAnsi="Arial"/>
                <w:b/>
                <w:bCs/>
                <w:color w:val="000000"/>
                <w:kern w:val="2"/>
                <w:sz w:val="21"/>
                <w:szCs w:val="21"/>
                <w:lang w:val="pl-PL" w:eastAsia="zh-CN" w:bidi="hi-IN"/>
              </w:rPr>
              <w:t>TERENU</w:t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4</w:t>
            </w:r>
          </w:p>
        </w:tc>
      </w:tr>
      <w:tr>
        <w:trPr/>
        <w:tc>
          <w:tcPr>
            <w:tcW w:w="85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cs="Arial" w:ascii="Arial" w:hAnsi="Arial"/>
                <w:color w:val="000000"/>
                <w:sz w:val="21"/>
                <w:szCs w:val="21"/>
              </w:rPr>
              <w:t xml:space="preserve">I. CZĘŚĆ OPISOWA DO PROJEKTU ZAGOSPODAROWANIA </w:t>
            </w:r>
            <w:r>
              <w:rPr>
                <w:rFonts w:eastAsia="NSimSun" w:cs="Lucida Sans" w:ascii="Arial" w:hAnsi="Arial"/>
                <w:color w:val="000000"/>
                <w:kern w:val="2"/>
                <w:sz w:val="21"/>
                <w:szCs w:val="21"/>
                <w:lang w:val="pl-PL" w:eastAsia="zh-CN" w:bidi="hi-IN"/>
              </w:rPr>
              <w:t>TERENU</w:t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24"/>
              </w:rPr>
              <w:t>5-1</w:t>
            </w:r>
            <w:r>
              <w:rPr>
                <w:rFonts w:eastAsia="NSimSun" w:cs="Lucida Sans" w:ascii="Arial" w:hAnsi="Arial"/>
                <w:color w:val="000000"/>
                <w:kern w:val="2"/>
                <w:sz w:val="24"/>
                <w:szCs w:val="24"/>
                <w:lang w:val="pl-PL" w:eastAsia="zh-CN" w:bidi="hi-IN"/>
              </w:rPr>
              <w:t>2</w:t>
            </w:r>
          </w:p>
        </w:tc>
      </w:tr>
      <w:tr>
        <w:trPr/>
        <w:tc>
          <w:tcPr>
            <w:tcW w:w="85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1"/>
                <w:szCs w:val="21"/>
              </w:rPr>
              <w:t>II. INFORMACJA O OBSZARZE ODDZIAŁYWANIA OBIEKTU ZAWIERA:</w:t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color w:val="000000"/>
              </w:rPr>
            </w:pPr>
            <w:r>
              <w:rPr>
                <w:rFonts w:cs="Arial Unicode MS" w:ascii="Arial" w:hAnsi="Arial"/>
                <w:color w:val="000000"/>
                <w:sz w:val="24"/>
              </w:rPr>
              <w:t>13-1</w:t>
            </w:r>
            <w:r>
              <w:rPr>
                <w:rFonts w:eastAsia="NSimSun" w:cs="Arial Unicode MS" w:ascii="Arial" w:hAnsi="Arial"/>
                <w:color w:val="000000"/>
                <w:kern w:val="2"/>
                <w:sz w:val="24"/>
                <w:szCs w:val="24"/>
                <w:lang w:val="pl-PL" w:eastAsia="zh-CN" w:bidi="hi-IN"/>
              </w:rPr>
              <w:t>4</w:t>
            </w:r>
          </w:p>
        </w:tc>
      </w:tr>
      <w:tr>
        <w:trPr/>
        <w:tc>
          <w:tcPr>
            <w:tcW w:w="85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1"/>
                <w:szCs w:val="21"/>
              </w:rPr>
              <w:t>III. CZĘŚĆ RYSUNKOWA</w:t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color w:val="000000"/>
              </w:rPr>
            </w:pPr>
            <w:r>
              <w:rPr>
                <w:rFonts w:cs="Arial Unicode MS" w:ascii="Arial" w:hAnsi="Arial"/>
                <w:color w:val="000000"/>
                <w:sz w:val="24"/>
              </w:rPr>
              <w:t>1</w:t>
            </w:r>
            <w:r>
              <w:rPr>
                <w:rFonts w:eastAsia="NSimSun" w:cs="Arial Unicode MS" w:ascii="Arial" w:hAnsi="Arial"/>
                <w:color w:val="000000"/>
                <w:kern w:val="2"/>
                <w:sz w:val="24"/>
                <w:szCs w:val="24"/>
                <w:lang w:val="pl-PL" w:eastAsia="zh-CN" w:bidi="hi-IN"/>
              </w:rPr>
              <w:t>5</w:t>
            </w:r>
          </w:p>
        </w:tc>
      </w:tr>
      <w:tr>
        <w:trPr/>
        <w:tc>
          <w:tcPr>
            <w:tcW w:w="85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21"/>
                <w:szCs w:val="21"/>
              </w:rPr>
              <w:t xml:space="preserve">Rys. Z.01 Projekt zagospodarowania </w:t>
            </w:r>
            <w:r>
              <w:rPr>
                <w:rFonts w:eastAsia="NSimSun" w:cs="Arial" w:ascii="Arial" w:hAnsi="Arial"/>
                <w:color w:val="000000"/>
                <w:kern w:val="2"/>
                <w:sz w:val="21"/>
                <w:szCs w:val="21"/>
                <w:lang w:val="pl-PL" w:eastAsia="zh-CN" w:bidi="hi-IN"/>
              </w:rPr>
              <w:t>terenu</w:t>
            </w:r>
          </w:p>
        </w:tc>
        <w:tc>
          <w:tcPr>
            <w:tcW w:w="1064" w:type="dxa"/>
            <w:tcBorders/>
            <w:shd w:fill="auto" w:val="clear"/>
          </w:tcPr>
          <w:p>
            <w:pPr>
              <w:pStyle w:val="Zawartotabeli"/>
              <w:widowControl w:val="false"/>
              <w:suppressAutoHyphens w:val="true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  <w:r>
              <w:rPr>
                <w:rFonts w:eastAsia="NSimSun" w:cs="Lucida Sans" w:ascii="Arial" w:hAnsi="Arial"/>
                <w:color w:val="000000"/>
                <w:kern w:val="2"/>
                <w:sz w:val="24"/>
                <w:szCs w:val="24"/>
                <w:lang w:val="pl-PL" w:eastAsia="zh-CN" w:bidi="hi-IN"/>
              </w:rPr>
              <w:t>6</w:t>
            </w:r>
          </w:p>
        </w:tc>
      </w:tr>
    </w:tbl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  <w:r>
        <w:br w:type="page"/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jc w:val="center"/>
        <w:rPr>
          <w:color w:val="000000"/>
        </w:rPr>
      </w:pPr>
      <w:r>
        <w:rPr>
          <w:rFonts w:ascii="Arial" w:hAnsi="Arial"/>
          <w:b/>
          <w:bCs/>
          <w:color w:val="000000"/>
          <w:sz w:val="40"/>
          <w:szCs w:val="40"/>
        </w:rPr>
        <w:t>ZAŁĄCZNIKI FORMALNO-PRAWNE</w:t>
      </w:r>
    </w:p>
    <w:p>
      <w:pPr>
        <w:pStyle w:val="Normal"/>
        <w:suppressAutoHyphens w:val="true"/>
        <w:spacing w:lineRule="auto" w:line="360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  <w:r>
        <w:br w:type="page"/>
      </w:r>
    </w:p>
    <w:p>
      <w:pPr>
        <w:pStyle w:val="Normal"/>
        <w:suppressAutoHyphens w:val="true"/>
        <w:spacing w:lineRule="auto" w:line="360"/>
        <w:rPr>
          <w:color w:val="000000"/>
        </w:rPr>
      </w:pPr>
      <w:r>
        <w:rPr>
          <w:rFonts w:ascii="Arial" w:hAnsi="Arial"/>
          <w:b/>
          <w:bCs/>
          <w:color w:val="000000"/>
        </w:rPr>
        <w:t xml:space="preserve">PROJEKT ZAGOSPODAROWANIA 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TERENU</w:t>
      </w:r>
    </w:p>
    <w:p>
      <w:pPr>
        <w:pStyle w:val="Normal"/>
        <w:suppressAutoHyphens w:val="true"/>
        <w:spacing w:lineRule="auto" w:line="360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INFORMACJE OGÓLNE: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1. Zakres opracowania:</w:t>
      </w:r>
    </w:p>
    <w:p>
      <w:pPr>
        <w:pStyle w:val="Tretekstu"/>
        <w:numPr>
          <w:ilvl w:val="0"/>
          <w:numId w:val="2"/>
        </w:numPr>
        <w:tabs>
          <w:tab w:val="clear" w:pos="720"/>
          <w:tab w:val="left" w:pos="280" w:leader="none"/>
        </w:tabs>
        <w:suppressAutoHyphens w:val="true"/>
        <w:spacing w:lineRule="auto" w:line="276" w:before="0" w:after="0"/>
        <w:ind w:left="0" w:right="0" w:hanging="0"/>
        <w:jc w:val="both"/>
        <w:rPr/>
      </w:pPr>
      <w:r>
        <w:rPr>
          <w:rStyle w:val="Domylnaczcionkaakapitu"/>
          <w:rFonts w:ascii="Arial" w:hAnsi="Arial"/>
          <w:b w:val="false"/>
          <w:bCs w:val="false"/>
          <w:color w:val="000000"/>
          <w:sz w:val="24"/>
          <w:szCs w:val="24"/>
        </w:rPr>
        <w:tab/>
        <w:t xml:space="preserve">Przedmiotem opracowania jest projekt 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przebudowy oraz rozbudowy budynku zaplecza stadionu lekkoatletycznego zlokalizowanego w Strzelcach Opolskich przy ul. Strzelców Bytomskich 2A, działka nr 311</w:t>
      </w:r>
    </w:p>
    <w:p>
      <w:pPr>
        <w:pStyle w:val="Tretekstu"/>
        <w:numPr>
          <w:ilvl w:val="0"/>
          <w:numId w:val="2"/>
        </w:numPr>
        <w:suppressAutoHyphens w:val="true"/>
        <w:spacing w:before="0" w:after="0"/>
        <w:ind w:left="0" w:right="0" w:hanging="0"/>
        <w:jc w:val="both"/>
        <w:rPr>
          <w:color w:val="000000"/>
        </w:rPr>
      </w:pPr>
      <w:r>
        <w:rPr>
          <w:rFonts w:ascii="Arial" w:hAnsi="Arial"/>
          <w:color w:val="000000"/>
        </w:rPr>
        <w:t>Kategoria obiektu budowlanego: V</w:t>
      </w:r>
    </w:p>
    <w:p>
      <w:pPr>
        <w:pStyle w:val="Tretekstu"/>
        <w:numPr>
          <w:ilvl w:val="0"/>
          <w:numId w:val="2"/>
        </w:numPr>
        <w:suppressAutoHyphens w:val="true"/>
        <w:spacing w:before="0" w:after="0"/>
        <w:ind w:left="0" w:right="0" w:hanging="0"/>
        <w:jc w:val="both"/>
        <w:rPr/>
      </w:pPr>
      <w:r>
        <w:rPr>
          <w:rFonts w:ascii="Arial" w:hAnsi="Arial"/>
          <w:color w:val="000000"/>
        </w:rPr>
        <w:t xml:space="preserve">Nazwa jednostki ewidencyjnej: </w:t>
      </w:r>
      <w:r>
        <w:rPr>
          <w:rStyle w:val="Domylnaczcionkaakapitu"/>
          <w:rFonts w:eastAsia="NSimSun" w:cs="Lucida Sans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lang w:val="pl-PL" w:eastAsia="zh-CN" w:bidi="hi-IN"/>
        </w:rPr>
        <w:t>161105_4 STRZELCE OPOLSKIE – OBSZAR MIEJSKI</w:t>
      </w:r>
    </w:p>
    <w:p>
      <w:pPr>
        <w:pStyle w:val="Tretekstu"/>
        <w:numPr>
          <w:ilvl w:val="0"/>
          <w:numId w:val="2"/>
        </w:numPr>
        <w:suppressAutoHyphens w:val="true"/>
        <w:spacing w:before="0" w:after="0"/>
        <w:ind w:left="0" w:right="0" w:hanging="0"/>
        <w:jc w:val="both"/>
        <w:rPr/>
      </w:pPr>
      <w:r>
        <w:rPr>
          <w:rFonts w:ascii="Arial" w:hAnsi="Arial"/>
          <w:color w:val="000000"/>
        </w:rPr>
        <w:t xml:space="preserve">Nazwa i numer obrębu ewidencyjnego: 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161105_4.0082 STRZELCE OPOLSKIE</w:t>
      </w:r>
    </w:p>
    <w:p>
      <w:pPr>
        <w:pStyle w:val="Tretekstu"/>
        <w:numPr>
          <w:ilvl w:val="0"/>
          <w:numId w:val="2"/>
        </w:numPr>
        <w:suppressAutoHyphens w:val="true"/>
        <w:spacing w:before="0" w:after="0"/>
        <w:ind w:left="0" w:right="0" w:hanging="0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Zakres opracowania obejmuje projekt architektoniczno-budowlany budynku oraz projekt zagospodarowania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terenu</w:t>
      </w:r>
      <w:r>
        <w:rPr>
          <w:rFonts w:ascii="Arial" w:hAnsi="Arial"/>
          <w:color w:val="000000"/>
        </w:rPr>
        <w:t xml:space="preserve">. </w:t>
      </w:r>
    </w:p>
    <w:p>
      <w:pPr>
        <w:pStyle w:val="Tretekstu"/>
        <w:suppressAutoHyphens w:val="true"/>
        <w:spacing w:before="0" w:after="0"/>
        <w:ind w:left="1049" w:right="0" w:hanging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2. Podstawa opracowania:</w:t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>a) zlecenie Inwestora;</w:t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>b) wizja lokalna w terenie;</w:t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c) miejscowy plan zagospodarowania przestrzennego – 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UCHWAŁA NR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XXXV/318/05 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RADY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MIEJSKIEJ W STRZELCACH OPOLSKICH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 z dnia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1 czerwca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 2005 r. w sprawie uchwalenia miejscowego planu zagospodarowania przestrzennego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fragmentu miasta Strzelce Opolskie – w rejonie ulicy Szpitalnej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  </w:t>
      </w:r>
      <w:r>
        <w:rPr>
          <w:rFonts w:ascii="Arial" w:hAnsi="Arial"/>
          <w:color w:val="000000"/>
          <w:sz w:val="24"/>
          <w:szCs w:val="24"/>
        </w:rPr>
        <w:t xml:space="preserve">–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tereny usług sportu i rekreacji</w:t>
      </w:r>
      <w:r>
        <w:rPr>
          <w:rFonts w:ascii="Arial" w:hAnsi="Arial"/>
          <w:color w:val="000000"/>
          <w:sz w:val="24"/>
          <w:szCs w:val="24"/>
        </w:rPr>
        <w:t xml:space="preserve"> – oznaczony symbolem 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US</w:t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>d) aktualnie obowiązujące przepisy i normy;</w:t>
      </w:r>
    </w:p>
    <w:p>
      <w:pPr>
        <w:pStyle w:val="Tretekstu"/>
        <w:suppressAutoHyphens w:val="true"/>
        <w:spacing w:before="0" w:after="0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Tretekstu"/>
        <w:suppressAutoHyphens w:val="true"/>
        <w:jc w:val="both"/>
        <w:rPr>
          <w:color w:val="000000"/>
        </w:rPr>
      </w:pPr>
      <w:r>
        <w:rPr>
          <w:rFonts w:ascii="Arial" w:hAnsi="Arial"/>
          <w:color w:val="000000"/>
        </w:rPr>
        <w:t>Kopie uprawnień projektantów branżowych oraz zaświadczania o przynależności do właściwych izb samorządu zawodowego znajdują się w części załącznikowej projektu architektoniczno-budowlanego.</w:t>
      </w:r>
    </w:p>
    <w:p>
      <w:pPr>
        <w:pStyle w:val="Normal"/>
        <w:suppressAutoHyphens w:val="true"/>
        <w:spacing w:lineRule="auto" w:line="360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276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  <w:r>
        <w:br w:type="page"/>
      </w:r>
    </w:p>
    <w:p>
      <w:pPr>
        <w:pStyle w:val="Normal"/>
        <w:suppressAutoHyphens w:val="true"/>
        <w:spacing w:lineRule="auto" w:line="276"/>
        <w:rPr>
          <w:color w:val="000000"/>
        </w:rPr>
      </w:pPr>
      <w:r>
        <w:rPr>
          <w:rFonts w:ascii="Arial" w:hAnsi="Arial"/>
          <w:b/>
          <w:bCs/>
          <w:color w:val="000000"/>
        </w:rPr>
        <w:t xml:space="preserve">I. CZĘŚĆ OPISOWA DO PROJEKTU ZAGOSPODAROWANIA 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TERENU</w:t>
      </w:r>
    </w:p>
    <w:p>
      <w:pPr>
        <w:pStyle w:val="Normal"/>
        <w:suppressAutoHyphens w:val="true"/>
        <w:spacing w:lineRule="auto" w:line="27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rPr>
          <w:color w:val="000000"/>
        </w:rPr>
      </w:pPr>
      <w:r>
        <w:rPr>
          <w:rFonts w:ascii="Arial" w:hAnsi="Arial"/>
          <w:b/>
          <w:bCs/>
          <w:color w:val="000000"/>
        </w:rPr>
        <w:t>1. Przedmiot i zakres zamierzenia budowlanego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lineRule="auto" w:line="276" w:before="0" w:after="0"/>
        <w:ind w:left="0" w:right="0" w:hanging="0"/>
        <w:jc w:val="both"/>
        <w:rPr/>
      </w:pPr>
      <w:r>
        <w:rPr>
          <w:rFonts w:ascii="Arial" w:hAnsi="Arial"/>
          <w:color w:val="000000"/>
        </w:rPr>
        <w:tab/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Przedmiotem opracowania jest projekt przebudowy oraz rozbudowy budynku zaplecza stadionu lekkoatletycznego zlokalizowanego w Strzelcach Opolskich przy ul. Strzelców Bytomskich 2A, działka nr 311.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rPr>
          <w:color w:val="000000"/>
        </w:rPr>
      </w:pPr>
      <w:r>
        <w:rPr>
          <w:rFonts w:ascii="Arial" w:hAnsi="Arial"/>
          <w:b/>
          <w:bCs/>
          <w:color w:val="000000"/>
        </w:rPr>
        <w:t xml:space="preserve">2. Istniejący stan zagospodarowania 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terenu</w:t>
      </w:r>
      <w:r>
        <w:rPr>
          <w:rFonts w:ascii="Arial" w:hAnsi="Arial"/>
          <w:b/>
          <w:bCs/>
          <w:color w:val="000000"/>
        </w:rPr>
        <w:t xml:space="preserve"> wraz z obiektami budowlanymi przeznaczonymi do rozbiórki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a) Istniejące zagospodarowanie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>Przedmiotow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y teren objęty opracowaniem</w:t>
      </w:r>
      <w:r>
        <w:rPr>
          <w:rFonts w:ascii="Arial" w:hAnsi="Arial"/>
          <w:color w:val="000000"/>
        </w:rPr>
        <w:t xml:space="preserve"> znajduje się w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Strzelcach Opolskich</w:t>
      </w:r>
      <w:r>
        <w:rPr>
          <w:rFonts w:ascii="Arial" w:hAnsi="Arial"/>
          <w:color w:val="000000"/>
        </w:rPr>
        <w:t xml:space="preserve"> przy ulicy Strzelców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 Bytomskich 2A</w:t>
      </w:r>
      <w:r>
        <w:rPr>
          <w:rFonts w:ascii="Arial" w:hAnsi="Arial"/>
          <w:color w:val="000000"/>
        </w:rPr>
        <w:t xml:space="preserve">. W stanie istniejącym na terenie mieści się budynek sportu i rekreacji objęty przebudową i rozbudową,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tereny utwardzone w postaci parkingu, ścieżek i chodników, oraz tereny biologicznie czynne porośnięte zielenią niską i wysoką</w:t>
      </w:r>
      <w:r>
        <w:rPr>
          <w:rFonts w:ascii="Arial" w:hAnsi="Arial"/>
          <w:color w:val="000000"/>
        </w:rPr>
        <w:t>. Do przedmiotow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ej działki</w:t>
      </w:r>
      <w:r>
        <w:rPr>
          <w:rFonts w:ascii="Arial" w:hAnsi="Arial"/>
          <w:color w:val="000000"/>
        </w:rPr>
        <w:t xml:space="preserve"> prowadzi istniejący wjazd oraz dojście.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 xml:space="preserve">b) Rozbiórki i obiekty przeznaczonych do dalszego użytkowania: 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ab/>
        <w:t>Przewiduje się następujące rozbiórki:</w:t>
      </w:r>
    </w:p>
    <w:p>
      <w:pPr>
        <w:pStyle w:val="Tretekstu"/>
        <w:tabs>
          <w:tab w:val="clear" w:pos="720"/>
          <w:tab w:val="left" w:pos="280" w:leader="none"/>
        </w:tabs>
        <w:spacing w:before="0" w:after="0"/>
        <w:jc w:val="left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–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rozbiórka istniejącego budynku pomocniczego znajdującego się na terenie opracowania</w:t>
      </w:r>
    </w:p>
    <w:p>
      <w:pPr>
        <w:pStyle w:val="Tretekstu"/>
        <w:tabs>
          <w:tab w:val="clear" w:pos="720"/>
          <w:tab w:val="left" w:pos="280" w:leader="none"/>
        </w:tabs>
        <w:spacing w:before="0" w:after="0"/>
        <w:jc w:val="left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–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demontaż lub przebudowa istniejącej infrastruktury zewnętrznej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left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–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wycinka drzew – wg odrębnego opracowania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color w:val="000000"/>
        </w:rPr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c) Ukształtowanie terenu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 xml:space="preserve">Działka objęta opracowaniem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posiada</w:t>
      </w:r>
      <w:r>
        <w:rPr>
          <w:rFonts w:ascii="Arial" w:hAnsi="Arial"/>
          <w:color w:val="000000"/>
        </w:rPr>
        <w:t xml:space="preserve"> spadek w kierunku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południowym</w:t>
      </w:r>
      <w:r>
        <w:rPr>
          <w:rFonts w:ascii="Arial" w:hAnsi="Arial"/>
          <w:color w:val="000000"/>
        </w:rPr>
        <w:t xml:space="preserve">. Rzędne terenu w przedziale od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229,66</w:t>
      </w:r>
      <w:r>
        <w:rPr>
          <w:rFonts w:ascii="Arial" w:hAnsi="Arial"/>
          <w:color w:val="000000"/>
        </w:rPr>
        <w:t xml:space="preserve">m n.p.m. do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229,58m</w:t>
      </w:r>
      <w:r>
        <w:rPr>
          <w:rFonts w:ascii="Arial" w:hAnsi="Arial"/>
          <w:color w:val="000000"/>
        </w:rPr>
        <w:t> n.p.m.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rPr>
          <w:color w:val="000000"/>
        </w:rPr>
      </w:pPr>
      <w:r>
        <w:rPr>
          <w:rFonts w:ascii="Arial" w:hAnsi="Arial"/>
          <w:b/>
          <w:bCs/>
          <w:color w:val="000000"/>
        </w:rPr>
        <w:t>3. Projektowane zagospodarowanie terenu obejmuje: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–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przebudowę oraz rozbudowę istniejącego budynku sportu i rekreacji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– </w:t>
      </w:r>
      <w:r>
        <w:rPr>
          <w:rFonts w:ascii="Arial" w:hAnsi="Arial"/>
          <w:color w:val="000000"/>
        </w:rPr>
        <w:t>niwelację terenu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– </w:t>
      </w:r>
      <w:r>
        <w:rPr>
          <w:rFonts w:ascii="Arial" w:hAnsi="Arial"/>
          <w:color w:val="000000"/>
        </w:rPr>
        <w:t>utwardzenie terenu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– </w:t>
      </w:r>
      <w:r>
        <w:rPr>
          <w:rFonts w:ascii="Arial" w:hAnsi="Arial"/>
          <w:color w:val="000000"/>
        </w:rPr>
        <w:t xml:space="preserve">wycinka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drzew – wg odrębnego opracowania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jc w:val="both"/>
        <w:rPr>
          <w:rFonts w:ascii="Arial" w:hAnsi="Arial" w:eastAsia="SimSun"/>
          <w:color w:val="000000"/>
        </w:rPr>
      </w:pPr>
      <w:r>
        <w:rPr>
          <w:rFonts w:eastAsia="SimSun" w:ascii="Arial" w:hAnsi="Arial"/>
          <w:color w:val="000000"/>
        </w:rPr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jc w:val="both"/>
        <w:rPr>
          <w:color w:val="000000"/>
        </w:rPr>
      </w:pPr>
      <w:r>
        <w:rPr>
          <w:rFonts w:eastAsia="SimSun" w:ascii="Arial" w:hAnsi="Arial"/>
          <w:color w:val="000000"/>
        </w:rPr>
        <w:t xml:space="preserve">Projektowany budynek </w:t>
      </w:r>
      <w:r>
        <w:rPr>
          <w:rFonts w:eastAsia="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w kształcie</w:t>
      </w:r>
      <w:r>
        <w:rPr>
          <w:rFonts w:eastAsia="SimSun" w:ascii="Arial" w:hAnsi="Arial"/>
          <w:color w:val="000000"/>
        </w:rPr>
        <w:t xml:space="preserve"> zbliżonym do </w:t>
      </w:r>
      <w:r>
        <w:rPr>
          <w:rFonts w:eastAsia="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prostokąta</w:t>
      </w:r>
      <w:r>
        <w:rPr>
          <w:rFonts w:eastAsia="SimSun" w:ascii="Arial" w:hAnsi="Arial"/>
          <w:color w:val="000000"/>
        </w:rPr>
        <w:t xml:space="preserve">. Dach </w:t>
      </w:r>
      <w:r>
        <w:rPr>
          <w:rFonts w:eastAsia="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jednospadowy</w:t>
      </w:r>
      <w:r>
        <w:rPr>
          <w:rFonts w:eastAsia="SimSun" w:ascii="Arial" w:hAnsi="Arial"/>
          <w:color w:val="000000"/>
        </w:rPr>
        <w:t xml:space="preserve">. Główne </w:t>
      </w:r>
      <w:r>
        <w:rPr>
          <w:rFonts w:eastAsia="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w</w:t>
      </w:r>
      <w:r>
        <w:rPr>
          <w:rFonts w:eastAsia="SimSun" w:ascii="Arial" w:hAnsi="Arial"/>
          <w:color w:val="000000"/>
        </w:rPr>
        <w:t>ejści</w:t>
      </w:r>
      <w:r>
        <w:rPr>
          <w:rFonts w:eastAsia="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e</w:t>
      </w:r>
      <w:r>
        <w:rPr>
          <w:rFonts w:eastAsia="SimSun" w:ascii="Arial" w:hAnsi="Arial"/>
          <w:color w:val="000000"/>
        </w:rPr>
        <w:t xml:space="preserve"> do budynku zaprojektowano od </w:t>
      </w:r>
      <w:r>
        <w:rPr>
          <w:rFonts w:eastAsia="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północy</w:t>
      </w:r>
      <w:r>
        <w:rPr>
          <w:rFonts w:eastAsia="SimSun" w:ascii="Arial" w:hAnsi="Arial"/>
          <w:color w:val="000000"/>
        </w:rPr>
        <w:t>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rPr>
          <w:color w:val="000000"/>
        </w:rPr>
      </w:pPr>
      <w:r>
        <w:rPr>
          <w:rFonts w:ascii="Arial" w:hAnsi="Arial"/>
          <w:b/>
          <w:bCs/>
          <w:color w:val="000000"/>
        </w:rPr>
        <w:t>3.1 Urządzenia budowlane związane z obiektami budowlanymi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Projektowane: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 w:before="0" w:after="0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–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parking dla samochodów osobowych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color w:val="000000"/>
        </w:rPr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Istniejące: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–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miejsce do tymczasowego gromadzenia odpadów stałych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–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wewnętrzne instalacje: kanalizacji sanitarnej, elektroenergetyczna, wodna, gazowa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 xml:space="preserve">Wody opadowe z dachu, wody roztopowe i wody z terenów utwardzonych będą odprowadzone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do miejskiej kanalizacji deszczowej</w:t>
      </w:r>
      <w:r>
        <w:rPr>
          <w:rFonts w:ascii="Arial" w:hAnsi="Arial"/>
          <w:color w:val="000000"/>
        </w:rPr>
        <w:t>. Zagospodarowanie wody opadowej odbywać się będzie w obrębie działki w sposób uniemożliwiający zalewanie działek sąsiednich. Projekt nie przewiduje zmiany istniejącego naturalnego spływu wód opadowych.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>Instalacje infrastruktury technicznej znajdujące się na działce są własnością Inwestora.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3.2 Sposób odprowadzania lub oczyszczania ścieków,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ab/>
        <w:t>Ścieki bytowe wytwarzane w budynkach będą odprowadzane do sieci kanalizacyjnej poprzez istniejące przyłącze kanalizacji.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3.3 Układ komunikacyjny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>Projekt nie przewiduje ingerencji w istniejący układ komunikacyjny (wjazd na działkę oraz dojście). Zapewnia się 17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 miejsc postojowych dla samochodów osobowych o wym. 2,5m x 5m na terenie utwardzonym (w tym 1 miejsce o wym. 3,6m x 5m dla osób niepełnosprawnych). Odległości miejsc postojowych od budynku oraz granic działki zgodnie z rysunkiem zagospodarowania terenu oraz warunkami technicznymi. Nawierzchnia z kostki brukowej gr. 8cm na podbudowie z kruszywa łamanego gr. 30cm. 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Dojazd</w:t>
      </w:r>
      <w:r>
        <w:rPr>
          <w:rFonts w:ascii="Arial" w:hAnsi="Arial"/>
          <w:b/>
          <w:bCs/>
          <w:color w:val="000000"/>
        </w:rPr>
        <w:t xml:space="preserve"> i dojście 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do działki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 xml:space="preserve">Dostęp do drogi publicznej zapewnia się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bezpośrednio z działki nr 3737/1 będącej działką drogową.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3.4 Sposób dostępu do drogi publicznej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 xml:space="preserve">Projektowana inwestycja jest zlokalizowana w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pierwszej</w:t>
      </w:r>
      <w:r>
        <w:rPr>
          <w:rFonts w:ascii="Arial" w:hAnsi="Arial"/>
          <w:color w:val="000000"/>
        </w:rPr>
        <w:t xml:space="preserve"> linii zabudowy względem ul. 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Strzelców Bytomskich</w:t>
      </w:r>
      <w:r>
        <w:rPr>
          <w:rFonts w:ascii="Arial" w:hAnsi="Arial"/>
          <w:color w:val="000000"/>
        </w:rPr>
        <w:t xml:space="preserve">. Istniejący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dostęp do drogi publicznej (ul. Strzelców Bytomskich) działka nr 3737/1, będąca działką drogową.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3.5 Parametry techniczne sieci i urządzeń uzbrojenia terenu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3.5.1 Wewnętrzna instalacja wodociągowa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>Przedmiotowy budynek jest wyposażony w wewnętrzną instalację wodociągową.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3.5.2 Projektowane przyłącze wodociągowe.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ab/>
        <w:t>Przedmiotowy budynek posiada istniejące przyłącze wodociągowe.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3.5.3 Zewnętrzna instalacja wody ppoż.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 xml:space="preserve">Nie projektuje się zmian w istniejącej zewnętrznej instalacji wody ppoż. 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3.5.4 Przyłącze kanalizacji sanitarnej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ab/>
        <w:t>Przedmiotowy budynek posiada istniejące przyłącze kanalizacji sanitarnej.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 w:eastAsia="NSimSun" w:cs="Lucida Sans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3.5.5 Przyłącze kanalizacji deszczowej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ab/>
        <w:t>Przedmiotowy budynek posiada istniejące przyłącze kanalizacji deszczowej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3.5.6 Przyłącze gazowe</w:t>
      </w:r>
    </w:p>
    <w:p>
      <w:pPr>
        <w:pStyle w:val="Normal"/>
        <w:widowControl/>
        <w:tabs>
          <w:tab w:val="clear" w:pos="720"/>
          <w:tab w:val="left" w:pos="280" w:leader="none"/>
        </w:tabs>
        <w:suppressAutoHyphens w:val="true"/>
        <w:bidi w:val="0"/>
        <w:spacing w:lineRule="auto" w:line="276" w:before="0" w:after="0"/>
        <w:ind w:left="283" w:right="0" w:hanging="0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Przedmiotowy budynek posiada istniejące przyłącze gazu.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3.5.7 Przyłącze energetyczne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ab/>
        <w:t>Przedmiotowy budynek posiada istniejące przyłącze energetyczne, które zaspokaja zapotrzebowanie na moc po rozbudowie budynku.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rFonts w:ascii="Arial" w:hAnsi="Arial" w:eastAsia="NSimSun" w:cs="Lucida Sans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3.6 Ukształtowanie terenu i układ zieleni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 xml:space="preserve">Projektowane ukształtowanie terenu obejmuje wyprofilowanie terenu wokół budynku oraz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podjazdu. </w:t>
      </w:r>
      <w:r>
        <w:rPr>
          <w:rFonts w:ascii="Arial" w:hAnsi="Arial"/>
          <w:color w:val="000000"/>
        </w:rPr>
        <w:t xml:space="preserve">Na projektowanych nawierzchniach utwardzonych zastosowano spadki podłużne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i </w:t>
      </w:r>
      <w:r>
        <w:rPr>
          <w:rFonts w:ascii="Arial" w:hAnsi="Arial"/>
          <w:color w:val="000000"/>
        </w:rPr>
        <w:t>poprzeczne uniemożliwiające spływ wody na działki sąsiadujące.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Projektowana zieleń polega na wykonaniu trawników - wskaźnik zieleni w obrębie jednostki planu oznaczonej symbolem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US</w:t>
      </w:r>
      <w:r>
        <w:rPr>
          <w:rFonts w:ascii="Arial" w:hAnsi="Arial"/>
          <w:color w:val="000000"/>
        </w:rPr>
        <w:t xml:space="preserve"> po realizacji inwestycji wyniesie 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50,5</w:t>
      </w:r>
      <w:r>
        <w:rPr>
          <w:rFonts w:ascii="Arial" w:hAnsi="Arial"/>
          <w:b/>
          <w:bCs/>
          <w:color w:val="000000"/>
        </w:rPr>
        <w:t>%</w:t>
      </w:r>
      <w:r>
        <w:rPr>
          <w:rFonts w:ascii="Arial" w:hAnsi="Arial"/>
          <w:b w:val="false"/>
          <w:bCs w:val="false"/>
          <w:color w:val="000000"/>
        </w:rPr>
        <w:t>.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4. Zestawienie powierzchni:</w:t>
      </w:r>
    </w:p>
    <w:p>
      <w:pPr>
        <w:pStyle w:val="Nagwek3"/>
        <w:suppressAutoHyphens w:val="true"/>
        <w:spacing w:lineRule="auto" w:line="276" w:before="0" w:after="0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4624705"/>
            <wp:effectExtent l="0" t="0" r="0" b="0"/>
            <wp:wrapTopAndBottom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24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5. Informacje i dane: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5.1 Przeznaczenie w Miejscowym Planie Zagospodarowania Przestrzennego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ab/>
      </w:r>
      <w:bookmarkStart w:id="0" w:name="__DdeLink__1885_838770723"/>
      <w:r>
        <w:rPr>
          <w:rFonts w:ascii="Arial" w:hAnsi="Arial"/>
          <w:color w:val="000000"/>
        </w:rPr>
        <w:t xml:space="preserve">Warunki spełnienia szczegółowych zapisów miejscowego planu zagospodarowania przestrzennego zatwierdzonego –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UCHWAŁA NR XXXV/318/05 RADY MIEJSKIEJ W STRZELCACH OPOLSKICH z dnia 1 czerwca 2005 r. w sprawie uchwalenia miejscowego planu zagospodarowania przestrzennego fragmentu miasta Strzelce Opolskie – w rejonie ulicy Szpitalnej 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 xml:space="preserve">– tereny usług sportu i rekreacji – oznaczony symbolem 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US</w:t>
      </w:r>
      <w:r>
        <w:rPr>
          <w:rFonts w:ascii="Arial" w:hAnsi="Arial"/>
          <w:color w:val="000000"/>
        </w:rPr>
        <w:t xml:space="preserve"> – projektowana inwestycja spełnia wymogi stawiane przez miejscowy plan zagospodarowania przestrzennego.</w:t>
      </w:r>
      <w:bookmarkEnd w:id="0"/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 xml:space="preserve">Rozdział 1 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Przeznaczenie terenów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 xml:space="preserve">§ 4 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6) tereny usług sportu i rekreacji, oznaczone na rysunku planu symbolem US, przez co rozumie się obiekty oraz urządzenia terenowe służące uprawianiu sportu  i rekreacji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/>
          <w:bCs/>
          <w:i/>
          <w:iCs/>
          <w:color w:val="000000"/>
          <w:kern w:val="2"/>
          <w:sz w:val="24"/>
          <w:szCs w:val="24"/>
          <w:lang w:val="pl-PL" w:eastAsia="zh-CN" w:bidi="hi-IN"/>
        </w:rPr>
        <w:t>Projektuje się przebudowę i rozbudowę budynku sportu i rekreacji</w:t>
      </w:r>
      <w:r>
        <w:rPr>
          <w:rFonts w:eastAsia="NSimSun" w:cs="Lucida Sans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 xml:space="preserve"> –  warunek spełniony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i/>
          <w:i/>
          <w:iCs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§ 15.1. Ustala się tereny usług sportu i rekreacji, o których mowa w § 4 pkt 6, oznaczone na rysunku planu symbolami US1 - US2.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2. W granicach terenów, o których mowa w ust.1, obowiązują następujące zasady zagospodarowania: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1) dopuszcza się lokalizację innych usług uzupełniających, pod warunkiem niepowodowania konfliktów z przeznaczeniem podstawowym terenu,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2) ustala się przeznaczenie, co najmniej 50% terenu jako powierzchni biologicznie czynni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i/>
          <w:i/>
          <w:iCs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center"/>
        <w:rPr>
          <w:color w:val="000000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  <w:t>Powierzchnia terenu biologicznie czynnego w stanie projektowanym wynosi:</w:t>
      </w:r>
    </w:p>
    <w:p>
      <w:pPr>
        <w:pStyle w:val="Normal"/>
        <w:suppressAutoHyphens w:val="true"/>
        <w:spacing w:lineRule="auto" w:line="276"/>
        <w:jc w:val="center"/>
        <w:rPr>
          <w:color w:val="000000"/>
        </w:rPr>
      </w:pPr>
      <w:r>
        <w:rPr>
          <w:rFonts w:eastAsia="NSimSun" w:cs="Lucida Sans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50,5%</w:t>
      </w:r>
      <w:r>
        <w:rPr>
          <w:rFonts w:eastAsia="NSimSun" w:cs="Lucida Sans" w:ascii="Arial" w:hAnsi="Arial"/>
          <w:b/>
          <w:bCs/>
          <w:i w:val="false"/>
          <w:iCs w:val="false"/>
          <w:color w:val="000000"/>
          <w:kern w:val="2"/>
          <w:sz w:val="24"/>
          <w:szCs w:val="24"/>
          <w:vertAlign w:val="superscript"/>
          <w:lang w:val="pl-PL" w:eastAsia="zh-CN" w:bidi="hi-IN"/>
        </w:rPr>
        <w:t xml:space="preserve"> </w:t>
      </w:r>
      <w:r>
        <w:rPr>
          <w:rFonts w:eastAsia="NSimSun" w:cs="Lucida Sans" w:ascii="Arial" w:hAnsi="Arial"/>
          <w:b/>
          <w:bCs/>
          <w:i w:val="false"/>
          <w:iCs w:val="false"/>
          <w:caps w:val="false"/>
          <w:smallCaps w:val="false"/>
          <w:color w:val="000000"/>
          <w:spacing w:val="0"/>
          <w:kern w:val="2"/>
          <w:position w:val="0"/>
          <w:sz w:val="24"/>
          <w:sz w:val="24"/>
          <w:szCs w:val="24"/>
          <w:vertAlign w:val="baseline"/>
          <w:lang w:val="pl-PL" w:eastAsia="zh-CN" w:bidi="hi-IN"/>
        </w:rPr>
        <w:t xml:space="preserve">≥ </w:t>
      </w:r>
      <w:r>
        <w:rPr>
          <w:rFonts w:eastAsia="NSimSun" w:cs="Lucida Sans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 xml:space="preserve"> 50% –  warunek spełniony</w:t>
      </w:r>
    </w:p>
    <w:p>
      <w:pPr>
        <w:pStyle w:val="Normal"/>
        <w:suppressAutoHyphens w:val="true"/>
        <w:spacing w:lineRule="auto" w:line="276"/>
        <w:jc w:val="center"/>
        <w:rPr>
          <w:rFonts w:ascii="Arial" w:hAnsi="Arial" w:eastAsia="NSimSun" w:cs="Lucida Sans"/>
          <w:i/>
          <w:i/>
          <w:iCs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3. Ustala się dla terenów, o których mowa w ust.1, następujące zasady kształtowania zabudowy i urządzania terenu: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1) wysokość zabudowy nie może przekroczyć trzech kondygnacji nadziemnych,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i/>
          <w:i/>
          <w:iCs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center"/>
        <w:rPr>
          <w:color w:val="000000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  <w:t>P</w:t>
      </w:r>
      <w:r>
        <w:rPr>
          <w:rFonts w:eastAsia="NSimSun" w:cs="Lucida Sans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rojektuje się budynek dwukondygnacyjny – warunek spełniony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i/>
          <w:i/>
          <w:iCs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3) ustala się obowiązek wyposażenia budynków użyteczności publicznej w urządzenia zapewniające dostępność tych budynków osobom niepełnosprawnym, co najmniej do wysokości pierwszej kondygnacji, zgodnie z przepisami odrębnymi,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i/>
          <w:i/>
          <w:iCs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Style w:val="Domylnaczcionkaakapitu"/>
          <w:rFonts w:eastAsia="NSimSun" w:cs="Arial Unicode MS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Wejście główne do budynku zostało przystosowane dla osób niepełnosprawnych – brak progów umożliwia swobodny ruchu wózka inwalidzkiego. Łazienka ogólnodostępna zlokalizowana w poziomie parteru również dostosowana dla osób niepełnosprawnych. Szerokość skrzydeł drzwi zaprojektowano jako 90 cm, co umożliwia swobodny dostęp osobom niepełnosprawnym do poszczególnych pomieszczeń.</w:t>
      </w:r>
      <w:r>
        <w:rPr>
          <w:rFonts w:eastAsia="NSimSun" w:cs="Lucida Sans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 xml:space="preserve"> – warunek spełniony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§ 33. Ustala się obowiązek zapewnienia poszczególnym terenom właściwej ilości stanowisk postojowych, w tym parkingów terenowych i garaży, w ilości nie mniejszej niż: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>3) 1 miejsce na każde rozpoczęte 30 m</w:t>
      </w: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vertAlign w:val="superscript"/>
          <w:lang w:val="pl-PL" w:eastAsia="zh-CN" w:bidi="hi-IN"/>
        </w:rPr>
        <w:t>2</w:t>
      </w:r>
      <w:r>
        <w:rPr>
          <w:rFonts w:eastAsia="NSimSun" w:cs="Lucida Sans" w:ascii="Arial" w:hAnsi="Arial"/>
          <w:i/>
          <w:iCs/>
          <w:color w:val="000000"/>
          <w:kern w:val="2"/>
          <w:sz w:val="24"/>
          <w:szCs w:val="24"/>
          <w:lang w:val="pl-PL" w:eastAsia="zh-CN" w:bidi="hi-IN"/>
        </w:rPr>
        <w:t xml:space="preserve"> powierzchni zabudowy usługowej,</w:t>
      </w:r>
    </w:p>
    <w:p>
      <w:pPr>
        <w:pStyle w:val="Normal"/>
        <w:suppressAutoHyphens w:val="true"/>
        <w:spacing w:lineRule="auto" w:line="276"/>
        <w:jc w:val="center"/>
        <w:rPr>
          <w:color w:val="000000"/>
        </w:rPr>
      </w:pPr>
      <w:r>
        <w:rPr>
          <w:rFonts w:eastAsia="NSimSun" w:cs="Lucida Sans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Powierzchnia zabudowy:  496,9 m2 * 30% = 16,56~17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/>
          <w:bCs/>
          <w:i/>
          <w:iCs/>
          <w:color w:val="000000"/>
          <w:kern w:val="2"/>
          <w:sz w:val="24"/>
          <w:szCs w:val="24"/>
          <w:lang w:val="pl-PL" w:eastAsia="zh-CN" w:bidi="hi-IN"/>
        </w:rPr>
        <w:t>Projektuje się 17 miejsc do parkowania n</w:t>
      </w:r>
      <w:r>
        <w:rPr>
          <w:rFonts w:eastAsia="NSimSun" w:cs="Lucida Sans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a terenie działki –  warunek spełniony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276"/>
        <w:jc w:val="center"/>
        <w:rPr>
          <w:color w:val="000000"/>
        </w:rPr>
      </w:pPr>
      <w:r>
        <w:rPr>
          <w:rFonts w:ascii="Arial" w:hAnsi="Arial"/>
          <w:b/>
          <w:bCs/>
          <w:color w:val="000000"/>
        </w:rPr>
        <w:t>Inwestycja zgodna z zapisami Miejscow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ego</w:t>
      </w:r>
      <w:r>
        <w:rPr>
          <w:rFonts w:ascii="Arial" w:hAnsi="Arial"/>
          <w:b/>
          <w:bCs/>
          <w:color w:val="000000"/>
        </w:rPr>
        <w:t xml:space="preserve"> Plan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u</w:t>
      </w:r>
      <w:r>
        <w:rPr>
          <w:rFonts w:ascii="Arial" w:hAnsi="Arial"/>
          <w:b/>
          <w:bCs/>
          <w:color w:val="000000"/>
        </w:rPr>
        <w:t xml:space="preserve"> Zagospodarowania Przestrzennego</w:t>
      </w:r>
    </w:p>
    <w:p>
      <w:pPr>
        <w:pStyle w:val="Normal"/>
        <w:suppressAutoHyphens w:val="true"/>
        <w:spacing w:lineRule="auto" w:line="276"/>
        <w:jc w:val="left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5.2 Informacja o wpisie do rejestru zabytków lub gminnej ewidencji zabytków lub czy zamierzenie budowlane lokalizowane jest na obszarze objętym ochroną konserwatorską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ab/>
        <w:t>Obiekt objęty opracowaniem</w:t>
      </w:r>
      <w:r>
        <w:rPr>
          <w:rFonts w:ascii="Arial" w:hAnsi="Arial"/>
          <w:color w:val="000000"/>
        </w:rPr>
        <w:t xml:space="preserve"> nie jest wpisany do rejestru zabytków oraz nie podlega ochronie na podstawie ustaleń miejscowego planu zagospodarowania przestrzennego.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5.3 Dane określające wpływ eksploatacji górniczej na teren zamierzenia budowlanego, znajdującego się w granicach terenu górniczego.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Arial" w:cs="Arial" w:ascii="ArialMT" w:hAnsi="ArialMT"/>
          <w:color w:val="000000"/>
          <w:kern w:val="2"/>
          <w:position w:val="0"/>
          <w:sz w:val="24"/>
          <w:sz w:val="24"/>
          <w:szCs w:val="24"/>
          <w:vertAlign w:val="baseline"/>
          <w:lang w:val="pl-PL" w:eastAsia="zh-CN" w:bidi="hi-IN"/>
        </w:rPr>
        <w:tab/>
        <w:t>Działka poza wpływami eksploatacji górniczej – nie stawia się wymagań dotyczących zabezpieczenia przed wpływem eksploatacji górniczej.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5.4 Opinia geotechniczna</w:t>
      </w:r>
    </w:p>
    <w:p>
      <w:pPr>
        <w:pStyle w:val="Normal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 w:val="false"/>
          <w:bCs w:val="false"/>
          <w:color w:val="000000"/>
          <w:sz w:val="24"/>
          <w:szCs w:val="24"/>
        </w:rPr>
        <w:tab/>
        <w:t>Z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godnie z załącznikiem nr 3 Załączników projektu budowlanego.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5.5 Informacje i dane o charakterze i cechach istniejących i przewidywanych zagrożeń dla środowiska oraz higieny i zdrowia użytkowników projektowanych obiektów budowlanych i ich otoczenia w zakresie zgodnym z przepisami odrębnymi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 xml:space="preserve">Projektowana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inwestycja</w:t>
      </w:r>
      <w:r>
        <w:rPr>
          <w:rFonts w:ascii="Arial" w:hAnsi="Arial"/>
          <w:color w:val="000000"/>
        </w:rPr>
        <w:t xml:space="preserve"> zarówno ze względu na przyjęte rozwiązania funkcjonalno-przestrzenne, technologiczne, zastosowane materiały budowlane i wykończeniowe jak i na planowaną eksploatację nie będzie wywierał negatywnego wpływu na środowisko przyrodnicze, zdrowie ludzi i obiekty sąsiadujące. Z budynku nie będą usuwane ani emitowane agresywne ścieki, płyny, gazy, wibracje, odpady stałe, promieniowanie jonizujące i zakłócenia elektromagnetyczne przekraczające dopuszczalne normy, więc nie będzie wywierał szkodliwego oddziaływania na środowisko przyrodnicze. Projekt nie wywiera również wpływu na obszary objęte siecią NATURA 2000. </w:t>
      </w:r>
    </w:p>
    <w:p>
      <w:pPr>
        <w:pStyle w:val="Tretekstu"/>
        <w:suppressAutoHyphens w:val="true"/>
        <w:spacing w:before="0" w:after="0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 xml:space="preserve">6. Informacja o obszarze oddziaływania obiektu </w:t>
      </w:r>
      <w:r>
        <w:rPr>
          <w:rFonts w:ascii="Arial" w:hAnsi="Arial"/>
          <w:color w:val="000000"/>
        </w:rPr>
        <w:t>– zgodnie z pkt. II</w:t>
      </w:r>
    </w:p>
    <w:p>
      <w:pPr>
        <w:pStyle w:val="Tretekstu"/>
        <w:suppressAutoHyphens w:val="true"/>
        <w:spacing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 xml:space="preserve">7. </w:t>
      </w:r>
      <w:r>
        <w:rPr>
          <w:rFonts w:cs="Arial" w:ascii="Arial" w:hAnsi="Arial"/>
          <w:b/>
          <w:bCs/>
          <w:color w:val="000000"/>
        </w:rPr>
        <w:t>Warunki ochrony przeciwpożarowej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7.1. Informacje o powierzchni zabudowy, wysokości i liczbie kondygnacji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br/>
        <w:t>Podstawowe dane charakteryzujące budynek: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powierzchnia zabudowy 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 xml:space="preserve">496,9 </w:t>
      </w:r>
      <w:r>
        <w:rPr>
          <w:rFonts w:cs="Calibri" w:ascii="Arial" w:hAnsi="Arial"/>
          <w:color w:val="000000"/>
          <w:sz w:val="24"/>
          <w:szCs w:val="24"/>
        </w:rPr>
        <w:t>m²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Wysokość 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>7,4</w:t>
      </w:r>
      <w:r>
        <w:rPr>
          <w:rFonts w:cs="Calibri" w:ascii="Arial" w:hAnsi="Arial"/>
          <w:color w:val="000000"/>
          <w:sz w:val="24"/>
          <w:szCs w:val="24"/>
        </w:rPr>
        <w:t xml:space="preserve"> m – budynek niski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Kubatura: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– </w:t>
      </w:r>
      <w:r>
        <w:rPr>
          <w:rFonts w:eastAsia="Helvetica Neue Light" w:cs="Calibri" w:ascii="Arial" w:hAnsi="Arial"/>
          <w:color w:val="000000"/>
          <w:sz w:val="24"/>
          <w:szCs w:val="24"/>
        </w:rPr>
        <w:t>istniejąca</w:t>
        <w:tab/>
        <w:tab/>
        <w:t>853,16 m</w:t>
      </w:r>
      <w:r>
        <w:rPr>
          <w:rFonts w:eastAsia="Helvetica Neue Light" w:cs="Calibri" w:ascii="Arial" w:hAnsi="Arial"/>
          <w:color w:val="000000"/>
          <w:sz w:val="24"/>
          <w:szCs w:val="24"/>
          <w:vertAlign w:val="superscript"/>
        </w:rPr>
        <w:t>3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– </w:t>
      </w:r>
      <w:r>
        <w:rPr>
          <w:rFonts w:eastAsia="Helvetica Neue Light" w:cs="Calibri" w:ascii="Arial" w:hAnsi="Arial"/>
          <w:color w:val="000000"/>
          <w:sz w:val="24"/>
          <w:szCs w:val="24"/>
        </w:rPr>
        <w:t>projektowana</w:t>
        <w:tab/>
        <w:t>1 818,67 m</w:t>
      </w:r>
      <w:r>
        <w:rPr>
          <w:rFonts w:eastAsia="Helvetica Neue Light" w:cs="Calibri" w:ascii="Arial" w:hAnsi="Arial"/>
          <w:color w:val="000000"/>
          <w:sz w:val="24"/>
          <w:szCs w:val="24"/>
          <w:vertAlign w:val="superscript"/>
        </w:rPr>
        <w:t>3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– </w:t>
      </w:r>
      <w:r>
        <w:rPr>
          <w:rFonts w:eastAsia="Helvetica Neue Light" w:cs="Calibri" w:ascii="Arial" w:hAnsi="Arial"/>
          <w:color w:val="000000"/>
          <w:kern w:val="2"/>
          <w:sz w:val="24"/>
          <w:szCs w:val="24"/>
          <w:lang w:val="pl-PL" w:eastAsia="zh-CN" w:bidi="ar-SA"/>
        </w:rPr>
        <w:t>Razem</w:t>
      </w:r>
      <w:r>
        <w:rPr>
          <w:rFonts w:eastAsia="Helvetica Neue Light" w:cs="Calibri" w:ascii="Arial" w:hAnsi="Arial"/>
          <w:color w:val="000000"/>
          <w:sz w:val="24"/>
          <w:szCs w:val="24"/>
        </w:rPr>
        <w:tab/>
        <w:tab/>
        <w:t>2 671,83</w:t>
      </w:r>
      <w:r>
        <w:rPr>
          <w:rFonts w:cs="Calibri" w:ascii="Arial" w:hAnsi="Arial"/>
          <w:color w:val="000000"/>
          <w:sz w:val="24"/>
          <w:szCs w:val="24"/>
        </w:rPr>
        <w:t xml:space="preserve"> m</w:t>
      </w:r>
      <w:r>
        <w:rPr>
          <w:rFonts w:cs="Calibri" w:ascii="Arial" w:hAnsi="Arial"/>
          <w:color w:val="000000"/>
          <w:sz w:val="24"/>
          <w:szCs w:val="24"/>
          <w:vertAlign w:val="superscript"/>
        </w:rPr>
        <w:t>3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>Liczba kondygnacji: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kern w:val="2"/>
          <w:sz w:val="24"/>
          <w:szCs w:val="24"/>
          <w:lang w:val="pl-PL" w:eastAsia="zh-CN" w:bidi="ar-SA"/>
        </w:rPr>
        <w:t>2</w:t>
      </w: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 kondygnacje nadziemn</w:t>
      </w:r>
      <w:r>
        <w:rPr>
          <w:rFonts w:eastAsia="Helvetica Neue Light" w:cs="Calibri" w:ascii="Arial" w:hAnsi="Arial"/>
          <w:color w:val="000000"/>
          <w:kern w:val="2"/>
          <w:sz w:val="24"/>
          <w:szCs w:val="24"/>
          <w:lang w:val="pl-PL" w:eastAsia="zh-CN" w:bidi="ar-SA"/>
        </w:rPr>
        <w:t>e</w:t>
      </w:r>
      <w:r>
        <w:rPr>
          <w:rFonts w:eastAsia="Helvetica Neue Light" w:cs="Calibri" w:ascii="Arial" w:hAnsi="Arial"/>
          <w:color w:val="000000"/>
          <w:sz w:val="24"/>
          <w:szCs w:val="24"/>
        </w:rPr>
        <w:t>, podziemne nie występują</w:t>
      </w:r>
    </w:p>
    <w:p>
      <w:pPr>
        <w:pStyle w:val="Bezodstpw"/>
        <w:spacing w:lineRule="auto" w:line="276"/>
        <w:jc w:val="both"/>
        <w:rPr>
          <w:rFonts w:ascii="Arial" w:hAnsi="Arial" w:cs="Calibri"/>
          <w:color w:val="000000"/>
          <w:sz w:val="24"/>
          <w:szCs w:val="24"/>
        </w:rPr>
      </w:pPr>
      <w:r>
        <w:rPr>
          <w:rFonts w:cs="Calibri" w:ascii="Arial" w:hAnsi="Arial"/>
          <w:color w:val="000000"/>
          <w:sz w:val="24"/>
          <w:szCs w:val="24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7.2. Informacje o klasyfikacji pożarowej z uwagi na przeznaczenie i spos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b użytkowania</w:t>
      </w: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single"/>
        </w:rPr>
        <w:br/>
      </w:r>
      <w:r>
        <w:rPr>
          <w:rFonts w:cs="Calibri" w:ascii="Arial" w:hAnsi="Arial"/>
          <w:color w:val="000000"/>
          <w:sz w:val="24"/>
          <w:szCs w:val="24"/>
        </w:rPr>
        <w:t xml:space="preserve">Budynek zalicza się do kategorii zagrożenia ludzi ZL III </w:t>
      </w:r>
    </w:p>
    <w:p>
      <w:pPr>
        <w:pStyle w:val="Bezodstpw"/>
        <w:spacing w:lineRule="auto" w:line="276"/>
        <w:jc w:val="both"/>
        <w:rPr>
          <w:rFonts w:ascii="Arial" w:hAnsi="Arial" w:eastAsia="Helvetica Neue" w:cs="Calibri"/>
          <w:color w:val="000000"/>
          <w:sz w:val="24"/>
          <w:szCs w:val="24"/>
        </w:rPr>
      </w:pPr>
      <w:r>
        <w:rPr>
          <w:rFonts w:eastAsia="Helvetica Neue" w:cs="Calibri" w:ascii="Arial" w:hAnsi="Arial"/>
          <w:color w:val="000000"/>
          <w:sz w:val="24"/>
          <w:szCs w:val="24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none"/>
        </w:rPr>
        <w:t>7.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 xml:space="preserve">3. Informacje o klasie odporności pożarowej oraz odporności ogniowej i stopniu rozprzestrzeniania ognia przez ściany zewnętrzne i dachy, </w:t>
      </w:r>
    </w:p>
    <w:p>
      <w:pPr>
        <w:pStyle w:val="Normal"/>
        <w:overflowPunct w:val="true"/>
        <w:spacing w:lineRule="auto" w:line="276"/>
        <w:ind w:left="4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Budynek w klasie „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D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>” odporności pożarowej, z elementów nierozprzestrzeniających ognia (NRO).</w:t>
      </w:r>
    </w:p>
    <w:p>
      <w:pPr>
        <w:pStyle w:val="Normal"/>
        <w:overflowPunct w:val="true"/>
        <w:spacing w:lineRule="auto" w:line="276"/>
        <w:ind w:left="4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Odporność ogniowa poszczególnych elementów budowlanych wynosi odpowiednio dla klasy „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D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>“ odporności pożarowej:</w:t>
      </w:r>
    </w:p>
    <w:p>
      <w:pPr>
        <w:pStyle w:val="Normal"/>
        <w:overflowPunct w:val="true"/>
        <w:spacing w:lineRule="auto" w:line="276"/>
        <w:ind w:left="4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Klasa odporności ogniowej elementów budynku co najmniej: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fals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Gł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ó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>wna konstrukcja nośna – R</w:t>
      </w:r>
      <w:r>
        <w:rPr>
          <w:rFonts w:cs="Calibri" w:ascii="Arial" w:hAnsi="Arial"/>
          <w:color w:val="000000"/>
          <w:spacing w:val="-2"/>
          <w:sz w:val="24"/>
          <w:szCs w:val="24"/>
          <w:lang w:val="pl-PL" w:eastAsia="pl-PL"/>
        </w:rPr>
        <w:t xml:space="preserve">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30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fals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Konstrukcja dachu – R</w:t>
      </w:r>
      <w:r>
        <w:rPr>
          <w:rFonts w:cs="Calibri" w:ascii="Arial" w:hAnsi="Arial"/>
          <w:color w:val="000000"/>
          <w:spacing w:val="-1"/>
          <w:sz w:val="24"/>
          <w:szCs w:val="24"/>
          <w:lang w:val="pl-PL" w:eastAsia="pl-PL"/>
        </w:rPr>
        <w:t xml:space="preserve">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(-)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fals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Ściana zewnętrzna – EI 30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fals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Ściana wewnętrzna – EI</w:t>
      </w:r>
      <w:r>
        <w:rPr>
          <w:rFonts w:cs="Calibri" w:ascii="Arial" w:hAnsi="Arial"/>
          <w:color w:val="000000"/>
          <w:spacing w:val="3"/>
          <w:sz w:val="24"/>
          <w:szCs w:val="24"/>
          <w:lang w:val="pl-PL" w:eastAsia="pl-PL"/>
        </w:rPr>
        <w:t xml:space="preserve">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(-)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 xml:space="preserve">     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fals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 xml:space="preserve">Przekrycie dachu – RE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(-)</w:t>
      </w:r>
    </w:p>
    <w:p>
      <w:pPr>
        <w:pStyle w:val="Normal"/>
        <w:overflowPunct w:val="true"/>
        <w:spacing w:lineRule="auto" w:line="276"/>
        <w:ind w:left="0" w:right="157" w:hanging="0"/>
        <w:jc w:val="both"/>
        <w:rPr>
          <w:rFonts w:ascii="Arial" w:hAnsi="Arial" w:cs="Calibri"/>
          <w:color w:val="000000"/>
          <w:sz w:val="24"/>
          <w:szCs w:val="24"/>
          <w:lang w:val="pl-PL" w:eastAsia="pl-PL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</w:r>
    </w:p>
    <w:p>
      <w:pPr>
        <w:pStyle w:val="Bezodstpw"/>
        <w:overflowPunct w:val="false"/>
        <w:spacing w:lineRule="auto" w:line="276"/>
        <w:ind w:left="4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 xml:space="preserve">Budynek 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>o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 xml:space="preserve"> konstrukcji tradycyjnej z zapewnieniem klasy odporności pożarowej „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>D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>” z elementów NRO.</w:t>
      </w:r>
    </w:p>
    <w:p>
      <w:pPr>
        <w:pStyle w:val="Bezodstpw"/>
        <w:spacing w:lineRule="auto" w:line="276"/>
        <w:jc w:val="both"/>
        <w:rPr>
          <w:rFonts w:ascii="Arial" w:hAnsi="Arial" w:eastAsia="Helvetica Neue" w:cs="Calibri"/>
          <w:b/>
          <w:b/>
          <w:bCs/>
          <w:color w:val="000000"/>
          <w:sz w:val="24"/>
          <w:szCs w:val="24"/>
          <w:u w:val="single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singl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none"/>
        </w:rPr>
        <w:t>7.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4. Informacje o występowaniu zagrożenia wybuchem, w tym informacje dotyczące pomieszczeń zagrożonych wybuchem oraz stref zagrożenia wybuchem w przestrzeni zewnętrznej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W budynku nie projektuje się pomieszczeń zagrożonych wybuchem, takie zagrożenie dla przestrzeni zewnętrznych również nie występuje. W obiekcie nie występują materiały wybuchowe. W budynku przewidziano system detekcji gazu z automatycznym odcięciem dopływu gazu do budynku.</w:t>
      </w:r>
    </w:p>
    <w:p>
      <w:pPr>
        <w:pStyle w:val="Bezodstpw"/>
        <w:spacing w:lineRule="auto" w:line="276"/>
        <w:jc w:val="both"/>
        <w:rPr>
          <w:rFonts w:ascii="Arial" w:hAnsi="Arial" w:eastAsia="Helvetica Neue" w:cs="Calibri"/>
          <w:b/>
          <w:b/>
          <w:bCs/>
          <w:color w:val="000000"/>
          <w:sz w:val="24"/>
          <w:szCs w:val="24"/>
          <w:u w:val="single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singl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none"/>
        </w:rPr>
        <w:t>7.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5. Informacje o usytuowaniu z uwagi na bezpieczeństwo pożarowe, w tym informacje o odległościach od sąsiadujących obiekt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w budowlanych, działek lub teren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w oraz parametrach wpływających na odległości dopuszczalne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Budynek wolnostojący z zachowaniem wymagań odległości od granicy działki i budynków sąsiednich, wg wymagań §271” warunków technicznych”. W odległości 4,0m od granicy działki budowlanej i 8,0m nie występują sąsiednie budynki ZL.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Budynek oddalony jest od najbliższego obiektu budowlanego o około 43 m, pozostałe odległości do sąsiadujących budynków są większe. Najbliższa odległość od granicy działki budowlanej to 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>16,24</w:t>
      </w:r>
      <w:r>
        <w:rPr>
          <w:rFonts w:cs="Calibri" w:ascii="Arial" w:hAnsi="Arial"/>
          <w:color w:val="000000"/>
          <w:sz w:val="24"/>
          <w:szCs w:val="24"/>
        </w:rPr>
        <w:t xml:space="preserve"> m, pozostałe odległości są większe.</w:t>
      </w:r>
    </w:p>
    <w:p>
      <w:pPr>
        <w:pStyle w:val="Bezodstpw"/>
        <w:spacing w:lineRule="auto" w:line="276"/>
        <w:jc w:val="both"/>
        <w:rPr>
          <w:rFonts w:ascii="Arial" w:hAnsi="Arial" w:cs="Calibri"/>
          <w:b/>
          <w:b/>
          <w:bCs/>
          <w:color w:val="000000"/>
          <w:sz w:val="24"/>
          <w:szCs w:val="24"/>
          <w:u w:val="single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singl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 xml:space="preserve">7.6. Informacje o przygotowaniu obiektu budowlanego i terenu do prowadzenia działań ratowniczych, w tym informacje o drogach pożarowych oraz dojściach dla ekip ratowniczych 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Wymaganą ilość wody do zewnętrznego gaszenia pożaru wynoszącą 20 dm3/s zapewniają dwa hydranty </w:t>
      </w:r>
      <w:r>
        <w:rPr>
          <w:rFonts w:eastAsia="NSimSun" w:cs="Calibri" w:ascii="Arial" w:hAnsi="Arial"/>
          <w:color w:val="000000"/>
          <w:kern w:val="2"/>
          <w:sz w:val="24"/>
          <w:szCs w:val="24"/>
          <w:lang w:val="pl-PL" w:eastAsia="zh-CN" w:bidi="hi-IN"/>
        </w:rPr>
        <w:t>zewnętrzn</w:t>
      </w:r>
      <w:r>
        <w:rPr>
          <w:rFonts w:cs="Calibri" w:ascii="Arial" w:hAnsi="Arial"/>
          <w:color w:val="000000"/>
          <w:sz w:val="24"/>
          <w:szCs w:val="24"/>
        </w:rPr>
        <w:t>e DN 80 każdy o wydajności co najmniej 10 dm3/s tj. 2 x 10 dm3/s, hydrant zlokalizowany w odległości 5-75m od budynku, a drugi do 150m, hydranty zainstalowane na miejskiej sieci wodociągowej.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Przewiduje się działanie jednoczesne dwóch hydrantów (o łącznej wydajności co najmniej 20 dm3/s, przy ciśnieniu 0,2 MPa).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Droga pożarowa ul. </w:t>
      </w:r>
      <w:r>
        <w:rPr>
          <w:rFonts w:eastAsia="NSimSun" w:cs="Calibri" w:ascii="Arial" w:hAnsi="Arial"/>
          <w:color w:val="000000"/>
          <w:kern w:val="2"/>
          <w:sz w:val="24"/>
          <w:szCs w:val="24"/>
          <w:lang w:val="pl-PL" w:eastAsia="zh-CN" w:bidi="hi-IN"/>
        </w:rPr>
        <w:t>Strzelców Bytomskich</w:t>
      </w:r>
      <w:r>
        <w:rPr>
          <w:rFonts w:cs="Calibri" w:ascii="Arial" w:hAnsi="Arial"/>
          <w:color w:val="000000"/>
          <w:sz w:val="24"/>
          <w:szCs w:val="24"/>
        </w:rPr>
        <w:t xml:space="preserve"> zlokalizowana jest wzdłuż elewacji budynku, w odległości 5,0 m do 15m. Droga umożliwia przejazd pojazdów ratowniczo – gaśniczych PSP o nacisku osi na nawierzchnię jezdni co najmniej 100 kN, posiada nawierzchnię utwardzoną o szerokości 4,0 m i zewnętrzne promienie skrętu 11,0 m.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Zapewniono połączenie drogi pożarowej utwardzonym dojściem do budynku o długości do 30m.</w:t>
      </w:r>
    </w:p>
    <w:p>
      <w:pPr>
        <w:pStyle w:val="Bezodstpw"/>
        <w:spacing w:lineRule="auto" w:line="276"/>
        <w:jc w:val="both"/>
        <w:rPr>
          <w:rFonts w:ascii="Arial" w:hAnsi="Arial" w:cs="Calibri"/>
          <w:b/>
          <w:b/>
          <w:bCs/>
          <w:color w:val="000000"/>
          <w:sz w:val="24"/>
          <w:szCs w:val="24"/>
          <w:u w:val="none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7.7. Informacje o rozwiązaniach zamiennych w stosunku do wymagań ochrony przeciwpożarowej, zastosowanych na podstawie zgody, o kt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 xml:space="preserve">rej mowa w art. 6c pkt 1 lub 2 ustawy z dnia 24 sierpnia 1991 r. o ochronie przeciwpożarowej, w zakresie rozwiązań objętych projektem zagospodarowania działki lub terenu;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W przedmiotowym obiekcie nie zastosowano rozwiązań zamiennych w stosunku do wymagań ochrony przeciwpożarowej.</w:t>
      </w:r>
    </w:p>
    <w:p>
      <w:pPr>
        <w:pStyle w:val="Tretekstu"/>
        <w:tabs>
          <w:tab w:val="clear" w:pos="720"/>
          <w:tab w:val="left" w:pos="285" w:leader="none"/>
        </w:tabs>
        <w:suppressAutoHyphens w:val="true"/>
        <w:spacing w:lineRule="auto" w:line="276" w:before="0" w:after="0"/>
        <w:ind w:left="0" w:right="0" w:hanging="0"/>
        <w:jc w:val="both"/>
        <w:rPr>
          <w:rFonts w:cs="Arial"/>
          <w:b/>
          <w:b/>
          <w:bCs/>
          <w:color w:val="000000"/>
          <w:kern w:val="0"/>
          <w:lang w:bidi="ar-SA"/>
        </w:rPr>
      </w:pPr>
      <w:r>
        <w:rPr>
          <w:rFonts w:cs="Arial"/>
          <w:b/>
          <w:bCs/>
          <w:color w:val="000000"/>
          <w:kern w:val="0"/>
          <w:lang w:bidi="ar-SA"/>
        </w:rPr>
      </w:r>
    </w:p>
    <w:p>
      <w:pPr>
        <w:pStyle w:val="Normal"/>
        <w:spacing w:lineRule="auto" w:line="288" w:before="0" w:after="0"/>
        <w:ind w:left="0" w:right="0" w:hanging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7.8 Opis rozbiórki istniejącego budynku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ab/>
        <w:t xml:space="preserve">Przedmiotowy budynek gospodarczy przeznaczony do rozbiórki wykonany w konstrukcji murowanej, jednokondygnacyjny. Mury zewnętrzne na zaprawie cementowo – wapiennej grubości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25</w:t>
      </w:r>
      <w:r>
        <w:rPr>
          <w:rFonts w:ascii="Arial" w:hAnsi="Arial"/>
          <w:b w:val="false"/>
          <w:bCs w:val="false"/>
          <w:color w:val="000000"/>
        </w:rPr>
        <w:t xml:space="preserve">cm, otynkowane z zewnątrz i wewnątrz. Dach 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jedno</w:t>
      </w:r>
      <w:r>
        <w:rPr>
          <w:rFonts w:ascii="Arial" w:hAnsi="Arial"/>
          <w:b w:val="false"/>
          <w:bCs w:val="false"/>
          <w:color w:val="000000"/>
        </w:rPr>
        <w:t xml:space="preserve">spadowy o konstrukcji drewnianej. Posadzka na parterze betonowa. 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a</w:t>
      </w:r>
      <w:r>
        <w:rPr>
          <w:rFonts w:ascii="Arial" w:hAnsi="Arial"/>
          <w:b w:val="false"/>
          <w:bCs w:val="false"/>
          <w:color w:val="000000"/>
        </w:rPr>
        <w:t xml:space="preserve">) wymiary zewnętrzne budynku: ok.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2,9</w:t>
      </w:r>
      <w:r>
        <w:rPr>
          <w:rFonts w:ascii="Arial" w:hAnsi="Arial"/>
          <w:b w:val="false"/>
          <w:bCs w:val="false"/>
          <w:color w:val="000000"/>
        </w:rPr>
        <w:t xml:space="preserve"> m x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7,3</w:t>
      </w:r>
      <w:r>
        <w:rPr>
          <w:rFonts w:ascii="Arial" w:hAnsi="Arial"/>
          <w:b w:val="false"/>
          <w:bCs w:val="false"/>
          <w:color w:val="000000"/>
        </w:rPr>
        <w:t xml:space="preserve"> m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b</w:t>
      </w:r>
      <w:r>
        <w:rPr>
          <w:rFonts w:ascii="Arial" w:hAnsi="Arial"/>
          <w:b w:val="false"/>
          <w:bCs w:val="false"/>
          <w:color w:val="000000"/>
        </w:rPr>
        <w:t xml:space="preserve">) wysokość budynku: ok.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3</w:t>
      </w:r>
      <w:r>
        <w:rPr>
          <w:rFonts w:ascii="Arial" w:hAnsi="Arial"/>
          <w:b w:val="false"/>
          <w:bCs w:val="false"/>
          <w:color w:val="000000"/>
        </w:rPr>
        <w:t xml:space="preserve"> m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Przedmiotowy budynek nie jest wpisany do rejestru zabytków oraz nie podlega ochronie na podstawie ustaleń miejscowego planu zagospodarowania przestrzennego.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Teren, na którym odbywać się będzie rozbiórka obiektów budowlanych, należy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ogrodzić i oznakować tablicami ostrzegawczymi. Przed przystąpieniem do robót rozbiórkowych należy upewnić się, czy na miejscu objętym robotami lub w miejscach zagrożonych nie znajdują się w czasie wykonywania robót osoby postronne. Niezbędne jest zbadanie elementów podlegających rozbiórce w celu stwierdzenia ich wielkości i konstrukcji. Usuwanie jednego elementu nie powinno wywoływać nieprzewidzianego spadania lub zawalenia innego. Miejsce zrzucania i gromadzenia gruzu powinno być należycie zabezpieczone. Elementy drewniane rozbierać się za pomocą narzędzi ciesielskich, pił mechanicznych. Odpady nie będą magazynowane w miejscu ich wytwarzania, lecz mogą być jedynie czasowo gromadzone do czasu zakończenia prac związanych z wytwarzaniem odpadów. Po zakończeniu rozbiórki materiały zostaną przekazane do zakładu utylizacji za potwierdzeniem.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rFonts w:ascii="Arial" w:hAnsi="Arial"/>
          <w:b w:val="false"/>
          <w:b w:val="false"/>
          <w:bCs w:val="false"/>
          <w:color w:val="000000"/>
        </w:rPr>
      </w:pPr>
      <w:r>
        <w:rPr>
          <w:rFonts w:ascii="Arial" w:hAnsi="Arial"/>
          <w:b w:val="false"/>
          <w:bCs w:val="false"/>
          <w:color w:val="000000"/>
        </w:rPr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 xml:space="preserve">W związku z planowaną rozbiórką budynku nie powstaną odpady z azbestu – nie stwierdzono materiałów zawierających azbest. 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rFonts w:ascii="Arial" w:hAnsi="Arial"/>
          <w:b w:val="false"/>
          <w:b w:val="false"/>
          <w:bCs w:val="false"/>
          <w:color w:val="000000"/>
        </w:rPr>
      </w:pPr>
      <w:r>
        <w:rPr>
          <w:rFonts w:ascii="Arial" w:hAnsi="Arial"/>
          <w:b w:val="false"/>
          <w:bCs w:val="false"/>
          <w:color w:val="000000"/>
        </w:rPr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/>
          <w:bCs/>
          <w:color w:val="000000"/>
        </w:rPr>
        <w:t>Kolejność robót rozbiórkowych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1. ręcznie zdjąć pokrycie dachowe, rozpoczynając od kalenicy w dół ku okapowi;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2. po zdjęciu pokrycia przystąpić do rozbiórki pokładu z łat, a następnie demontażu więźby dachowej, krokwi, szczyty z desek i murłaty;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3</w:t>
      </w:r>
      <w:r>
        <w:rPr>
          <w:rFonts w:ascii="Arial" w:hAnsi="Arial"/>
          <w:b w:val="false"/>
          <w:bCs w:val="false"/>
          <w:color w:val="000000"/>
        </w:rPr>
        <w:t>. rozebrać ściany zewnętrzne wraz z wyjęciem stolarki drzwiowej i okiennej;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4</w:t>
      </w:r>
      <w:r>
        <w:rPr>
          <w:rFonts w:ascii="Arial" w:hAnsi="Arial"/>
          <w:b w:val="false"/>
          <w:bCs w:val="false"/>
          <w:color w:val="000000"/>
        </w:rPr>
        <w:t>. usunąć fundamenty z betonu;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5</w:t>
      </w:r>
      <w:r>
        <w:rPr>
          <w:rFonts w:ascii="Arial" w:hAnsi="Arial"/>
          <w:b w:val="false"/>
          <w:bCs w:val="false"/>
          <w:color w:val="000000"/>
        </w:rPr>
        <w:t>. wywieźć gruz i zasypać doły po budynkach;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6</w:t>
      </w:r>
      <w:r>
        <w:rPr>
          <w:rFonts w:ascii="Arial" w:hAnsi="Arial"/>
          <w:b w:val="false"/>
          <w:bCs w:val="false"/>
          <w:color w:val="000000"/>
        </w:rPr>
        <w:t>. uporządkować teren;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rFonts w:ascii="Arial" w:hAnsi="Arial"/>
          <w:b w:val="false"/>
          <w:b w:val="false"/>
          <w:bCs w:val="false"/>
          <w:color w:val="000000"/>
        </w:rPr>
      </w:pPr>
      <w:r>
        <w:rPr>
          <w:rFonts w:ascii="Arial" w:hAnsi="Arial"/>
          <w:b w:val="false"/>
          <w:bCs w:val="false"/>
          <w:color w:val="000000"/>
        </w:rPr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UWAGA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>Roboty prowadzić przy zastosowaniu narzędzi ręcznych ograniczając do minimum drgania, gwałtowne uderzenia itp. pod nadzorem uprawnionego kierownika budowy.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</w:rPr>
        <w:t xml:space="preserve">W trakcie wykonywania rozbiórki fundamentów nie można dopuścić do zalania wykopów </w:t>
      </w:r>
    </w:p>
    <w:p>
      <w:pPr>
        <w:pStyle w:val="Tretekstu"/>
        <w:spacing w:lineRule="auto" w:line="288" w:before="0" w:after="0"/>
        <w:ind w:left="0" w:right="0" w:hanging="0"/>
        <w:jc w:val="left"/>
        <w:rPr>
          <w:color w:val="000000"/>
        </w:rPr>
      </w:pP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i „podmycia” fundamentów przyległych budynków. </w:t>
      </w:r>
    </w:p>
    <w:p>
      <w:pPr>
        <w:pStyle w:val="Tretekstu"/>
        <w:spacing w:before="0" w:after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Tretekstu"/>
        <w:spacing w:before="0" w:after="0"/>
        <w:jc w:val="right"/>
        <w:rPr>
          <w:color w:val="000000"/>
        </w:rPr>
      </w:pPr>
      <w:r>
        <w:rPr>
          <w:rFonts w:ascii="Arial" w:hAnsi="Arial"/>
          <w:color w:val="000000"/>
          <w:sz w:val="24"/>
          <w:szCs w:val="24"/>
        </w:rPr>
        <w:t>opracował:</w:t>
      </w:r>
    </w:p>
    <w:p>
      <w:pPr>
        <w:pStyle w:val="Tretekstu"/>
        <w:suppressAutoHyphens w:val="true"/>
        <w:spacing w:before="0" w:after="0"/>
        <w:jc w:val="right"/>
        <w:rPr>
          <w:color w:val="000000"/>
        </w:rPr>
      </w:pPr>
      <w:bookmarkStart w:id="1" w:name="__DdeLink__5823_2137146262"/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inż. arch. Dariusz Zniszczoł</w:t>
      </w:r>
      <w:bookmarkEnd w:id="1"/>
    </w:p>
    <w:p>
      <w:pPr>
        <w:pStyle w:val="Tretekstu"/>
        <w:suppressAutoHyphens w:val="true"/>
        <w:spacing w:before="0" w:after="0"/>
        <w:jc w:val="both"/>
        <w:rPr>
          <w:rFonts w:ascii="Arial" w:hAnsi="Arial" w:cs="Arial"/>
          <w:b/>
          <w:b/>
          <w:bCs/>
          <w:color w:val="000000"/>
        </w:rPr>
      </w:pPr>
      <w:r>
        <w:rPr>
          <w:rFonts w:cs="Arial" w:ascii="Arial" w:hAnsi="Arial"/>
          <w:b/>
          <w:bCs/>
          <w:color w:val="000000"/>
        </w:rPr>
      </w:r>
    </w:p>
    <w:p>
      <w:pPr>
        <w:pStyle w:val="Tretekstu"/>
        <w:suppressAutoHyphens w:val="true"/>
        <w:spacing w:before="0" w:after="0"/>
        <w:jc w:val="both"/>
        <w:rPr>
          <w:rFonts w:ascii="Arial" w:hAnsi="Arial" w:cs="Arial"/>
          <w:b/>
          <w:b/>
          <w:bCs/>
          <w:color w:val="000000"/>
        </w:rPr>
      </w:pPr>
      <w:r>
        <w:rPr>
          <w:rFonts w:cs="Arial" w:ascii="Arial" w:hAnsi="Arial"/>
          <w:b/>
          <w:bCs/>
          <w:color w:val="000000"/>
        </w:rPr>
      </w:r>
    </w:p>
    <w:p>
      <w:pPr>
        <w:pStyle w:val="Tretekstu"/>
        <w:suppressAutoHyphens w:val="true"/>
        <w:spacing w:before="0" w:after="0"/>
        <w:jc w:val="both"/>
        <w:rPr>
          <w:rFonts w:ascii="Arial" w:hAnsi="Arial" w:cs="Arial"/>
          <w:b/>
          <w:b/>
          <w:bCs/>
          <w:color w:val="000000"/>
        </w:rPr>
      </w:pPr>
      <w:r>
        <w:rPr>
          <w:rFonts w:cs="Arial" w:ascii="Arial" w:hAnsi="Arial"/>
          <w:b/>
          <w:bCs/>
          <w:color w:val="000000"/>
        </w:rPr>
      </w:r>
    </w:p>
    <w:p>
      <w:pPr>
        <w:pStyle w:val="Tretekstu"/>
        <w:suppressAutoHyphens w:val="true"/>
        <w:spacing w:before="0" w:after="0"/>
        <w:jc w:val="both"/>
        <w:rPr>
          <w:rFonts w:ascii="Arial" w:hAnsi="Arial" w:eastAsia="NSimSun" w:cs="Lucida Sans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</w:r>
      <w:r>
        <w:br w:type="page"/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II. INFORMACJA O OBSZARZE ODDZIAŁYWANIA OBIEKTU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Przedmiotowy teren objęty opracowaniem znajduje się w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Strzelcach Opolskich</w:t>
      </w:r>
      <w:r>
        <w:rPr>
          <w:rFonts w:ascii="Arial" w:hAnsi="Arial"/>
          <w:color w:val="000000"/>
        </w:rPr>
        <w:t xml:space="preserve"> przy ulicy 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Strzelców Bytomskich 2A</w:t>
      </w:r>
      <w:r>
        <w:rPr>
          <w:rFonts w:ascii="Arial" w:hAnsi="Arial"/>
          <w:color w:val="000000"/>
        </w:rPr>
        <w:t>.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tabs>
          <w:tab w:val="clear" w:pos="720"/>
          <w:tab w:val="left" w:pos="285" w:leader="none"/>
        </w:tabs>
        <w:suppressAutoHyphens w:val="true"/>
        <w:spacing w:lineRule="auto" w:line="276" w:before="0" w:after="0"/>
        <w:ind w:left="0" w:right="0" w:hanging="0"/>
        <w:jc w:val="both"/>
        <w:rPr/>
      </w:pPr>
      <w:r>
        <w:rPr>
          <w:rFonts w:ascii="Arial" w:hAnsi="Arial"/>
          <w:color w:val="000000"/>
        </w:rPr>
        <w:tab/>
        <w:t xml:space="preserve">Przedmiotem </w:t>
      </w:r>
      <w:r>
        <w:rPr>
          <w:rStyle w:val="Domylnaczcionkaakapitu"/>
          <w:rFonts w:ascii="Arial" w:hAnsi="Arial"/>
          <w:b w:val="false"/>
          <w:bCs w:val="false"/>
          <w:color w:val="000000"/>
          <w:sz w:val="24"/>
          <w:szCs w:val="24"/>
        </w:rPr>
        <w:t xml:space="preserve">opracowania jest projekt 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przebudowy oraz rozbudowy budynku zaplecza stadionu lekkoatletycznego.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>Obiekt zaprojektowany został zgodnie z Miejscowym Planem Zagospodarowania Przestrzennego, warunkami technicznymi jakim powinny odpowiadać budynki i ich usytuowanie, prawem budowlanym, przepisami pokrewnymi. Przedsięwzięcie nie stanowi zagrożenia dla jakości wód, gruntów oraz klimatu akustycznego.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>Przedsięwzięcie nie narusza interesów osób trzecich. Jego oddziaływanie nie wykracza poza linie rozgraniczające – granice opracowania inwestycji. Przedsięwzięcie nie powoduje ograniczenia sposobu zagospodarowania działek sąsiednich i nie wpływa na wykonywanie prawa własności osób trzecich. Nie ogranicza osobom trzecim dostępu do drogi publicznej, korzystania z wody, kanalizacji, energii elektrycznej, cieplnej, środków łączności, nie ogranicza dostępu światła dziennego, zapewnia ochronę  przed hałasem, wibracjami, zakłóceniami elektrycznymi, promieniowaniem, zanieczyszczeniem powietrza wody i gleby.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ab/>
        <w:t>W celu wyznaczenia obszaru oddziaływania inwestycji zgodnie z Art.20.1.1c (DzU. 1994 nr 89 poz. 414 z późn. zmianami) uwzględniając definicje zawartą w Art. 3.20 przeanalizowano ograniczenia w zagospodarowaniu, w tym zabudowy terenu wokół budynku, wynikające z przepisów odrębnych, m.in. przepisów rozporządzenia w sprawie warunków technicznych jakim powinny odpowiadać budynki i ich usytuowanie, przepisów z zakresu ochrony środowiska, ochrony zabytków, ochrony przyrody, prawa wodnego oraz przepisy z zakresu planowania przestrzennego.</w:t>
      </w:r>
    </w:p>
    <w:p>
      <w:pPr>
        <w:pStyle w:val="Tretekstu"/>
        <w:suppressAutoHyphens w:val="true"/>
        <w:spacing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tbl>
      <w:tblPr>
        <w:tblW w:w="9753" w:type="dxa"/>
        <w:jc w:val="left"/>
        <w:tblInd w:w="-212" w:type="dxa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600"/>
        <w:gridCol w:w="5114"/>
        <w:gridCol w:w="4039"/>
      </w:tblGrid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Lp.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Podstawa prawna / opis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Zakres oddziaływania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§12* Zabudowa i zagospodarowanie działki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4,0 m od ściany z oknami,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§23.1* Miejsce gromadzenia odpadów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 zagospodarowaniu terenu. 3,0 m od granic działki, 10,0 m od ściany z oknami.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3.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§13, 57-60* Przesłanianie i zacienianie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left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Brak możliwości przesłaniania – bud. wolnostojący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4.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§31* Studnie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Arial" w:hAnsi="Arial" w:eastAsia="NSimSun" w:cs="Lucida Sans"/>
                <w:color w:val="000000"/>
                <w:kern w:val="2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000000"/>
                <w:kern w:val="2"/>
                <w:sz w:val="24"/>
                <w:szCs w:val="24"/>
                <w:lang w:val="pl-PL" w:eastAsia="zh-CN" w:bidi="hi-IN"/>
              </w:rPr>
              <w:t>Nie dotyczy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5.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§40* Zieleń i urządzenia rekreacyjne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Nie dotyczy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6.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§271-273* Usytuowanie budynków z uwagi na bezpieczeństwo pożarowe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Ponad 8m do ściany budynku zlokalizowanego na sąsiedniej działce – nie przekracza §12*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7.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Emisja zanieczyszczeń gazowych, pyłowych i płynnych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brak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8.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Hałas, wibracje i promieniowanie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brak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9.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Wpływ na istniejący drzewostan, powierzchnie ziemi, glebę, wody powierzchniowe i podziemne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brak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10.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Uwarunkowania wynikające z regulacji MPZP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Zgodnie z pkt. 5.1 opisu</w:t>
            </w:r>
          </w:p>
        </w:tc>
      </w:tr>
      <w:tr>
        <w:trPr/>
        <w:tc>
          <w:tcPr>
            <w:tcW w:w="6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11.</w:t>
            </w:r>
          </w:p>
        </w:tc>
        <w:tc>
          <w:tcPr>
            <w:tcW w:w="51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Uwarunkowania wynikające z innych nie powołanych wyżej przepisów</w:t>
            </w:r>
          </w:p>
        </w:tc>
        <w:tc>
          <w:tcPr>
            <w:tcW w:w="40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Nie określono</w:t>
            </w:r>
          </w:p>
        </w:tc>
      </w:tr>
      <w:tr>
        <w:trPr/>
        <w:tc>
          <w:tcPr>
            <w:tcW w:w="975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AutoHyphens w:val="true"/>
              <w:spacing w:lineRule="auto" w:line="276"/>
              <w:jc w:val="both"/>
              <w:rPr/>
            </w:pPr>
            <w:r>
              <w:rPr>
                <w:rFonts w:ascii="Arial" w:hAnsi="Arial"/>
                <w:color w:val="000000"/>
              </w:rPr>
              <w:t xml:space="preserve">ZAKRES WSZELKICH ODDZIAŁYWAŃ MIEŚCI SIĘ W GRANICY DZIAŁKI INWESTORA – DZIAŁKA NR  </w:t>
            </w:r>
            <w:r>
              <w:rPr>
                <w:rStyle w:val="Domylnaczcionkaakapitu"/>
                <w:rFonts w:eastAsia="NSimSun" w:cs="Lucida Sans" w:ascii="Arial" w:hAnsi="Arial"/>
                <w:color w:val="000000"/>
                <w:kern w:val="2"/>
                <w:sz w:val="24"/>
                <w:szCs w:val="24"/>
                <w:lang w:val="pl-PL" w:eastAsia="zh-CN" w:bidi="hi-IN"/>
              </w:rPr>
              <w:t>311</w:t>
            </w:r>
          </w:p>
        </w:tc>
      </w:tr>
    </w:tbl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>* Rozporządzenie Ministra Infrastruktury z dnia 12 kwietnia 2002 r. w sprawie warunków technicznych, jakim powinny odpowiadać budynki i ich usytuowanie.</w:t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color w:val="000000"/>
        </w:rPr>
        <w:t>Przedmiotowa inwestycja nie zmienia zasięgu obszaru oddziaływania budynku. Obszar oddziaływania obiektu mieści się w całości na działce, na której został zaprojektowan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y</w:t>
      </w:r>
      <w:r>
        <w:rPr>
          <w:rFonts w:ascii="Arial" w:hAnsi="Arial"/>
          <w:color w:val="000000"/>
        </w:rPr>
        <w:t xml:space="preserve"> budyn</w:t>
      </w:r>
      <w:r>
        <w:rPr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ek</w:t>
      </w:r>
      <w:r>
        <w:rPr>
          <w:rFonts w:ascii="Arial" w:hAnsi="Arial"/>
          <w:color w:val="000000"/>
        </w:rPr>
        <w:t>.</w:t>
      </w:r>
    </w:p>
    <w:p>
      <w:pPr>
        <w:pStyle w:val="Tretekstu"/>
        <w:suppressAutoHyphens w:val="true"/>
        <w:spacing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suppressAutoHyphens w:val="true"/>
        <w:spacing w:before="0" w:after="0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retekstu"/>
        <w:suppressAutoHyphens w:val="true"/>
        <w:spacing w:before="0" w:after="0"/>
        <w:jc w:val="right"/>
        <w:rPr>
          <w:color w:val="000000"/>
        </w:rPr>
      </w:pPr>
      <w:r>
        <w:rPr>
          <w:rFonts w:ascii="Arial" w:hAnsi="Arial"/>
          <w:color w:val="000000"/>
        </w:rPr>
        <w:t>opracował:</w:t>
      </w:r>
    </w:p>
    <w:p>
      <w:pPr>
        <w:pStyle w:val="Tretekstu"/>
        <w:suppressAutoHyphens w:val="true"/>
        <w:spacing w:before="0" w:after="0"/>
        <w:jc w:val="righ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inż. arch. Dariusz Zniszczoł</w:t>
      </w:r>
    </w:p>
    <w:p>
      <w:pPr>
        <w:pStyle w:val="Tretekstu"/>
        <w:suppressAutoHyphens w:val="true"/>
        <w:spacing w:lineRule="auto" w:line="360" w:before="0" w:after="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  <w:r>
        <w:br w:type="page"/>
      </w:r>
    </w:p>
    <w:p>
      <w:pPr>
        <w:pStyle w:val="Normal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"/>
        <w:suppressAutoHyphens w:val="true"/>
        <w:spacing w:lineRule="auto" w:line="360"/>
        <w:jc w:val="center"/>
        <w:rPr>
          <w:color w:val="000000"/>
        </w:rPr>
      </w:pPr>
      <w:r>
        <w:rPr>
          <w:rFonts w:ascii="Arial" w:hAnsi="Arial"/>
          <w:b/>
          <w:bCs/>
          <w:color w:val="000000"/>
          <w:sz w:val="40"/>
          <w:szCs w:val="40"/>
        </w:rPr>
        <w:t>III. CZĘŚĆ RYSUNKOWA</w:t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Normal"/>
        <w:suppressAutoHyphens w:val="true"/>
        <w:spacing w:lineRule="auto" w:line="360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  <w:r>
        <w:br w:type="page"/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C9211E"/>
          <w:sz w:val="21"/>
          <w:szCs w:val="21"/>
        </w:rPr>
      </w:pPr>
      <w:r>
        <w:rPr>
          <w:rStyle w:val="Domylnaczcionkaakapitu"/>
          <w:rFonts w:ascii="Arial" w:hAnsi="Arial"/>
          <w:b/>
          <w:bCs/>
          <w:color w:val="000000"/>
          <w:sz w:val="24"/>
          <w:szCs w:val="24"/>
        </w:rPr>
        <w:t>PROJEKT ARCHITEKTONICZNO-BUDOWLANY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C9211E"/>
          <w:sz w:val="21"/>
          <w:szCs w:val="21"/>
        </w:rPr>
      </w:pPr>
      <w:r>
        <w:rPr>
          <w:rStyle w:val="Domylnaczcionkaakapitu"/>
          <w:rFonts w:ascii="Arial" w:hAnsi="Arial"/>
          <w:b/>
          <w:bCs/>
          <w:color w:val="000000"/>
          <w:sz w:val="24"/>
          <w:szCs w:val="24"/>
        </w:rPr>
        <w:t>I. CZĘŚĆ OPISOWA DO PROJEKTU ARCHITEKTONICZNO-BUDOWLANEGO</w:t>
      </w:r>
    </w:p>
    <w:p>
      <w:pPr>
        <w:pStyle w:val="Normalny"/>
        <w:suppressAutoHyphens w:val="true"/>
        <w:spacing w:lineRule="auto" w:line="276"/>
        <w:jc w:val="both"/>
        <w:rPr>
          <w:rStyle w:val="Domylnaczcionkaakapitu"/>
          <w:b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sz w:val="24"/>
          <w:szCs w:val="24"/>
        </w:rPr>
        <w:t>1. Rodzaj i kategoria obiektu budowlanego</w:t>
      </w:r>
    </w:p>
    <w:p>
      <w:pPr>
        <w:pStyle w:val="Tretekstu"/>
        <w:widowControl/>
        <w:numPr>
          <w:ilvl w:val="0"/>
          <w:numId w:val="4"/>
        </w:numPr>
        <w:tabs>
          <w:tab w:val="clear" w:pos="720"/>
          <w:tab w:val="left" w:pos="280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/>
      </w:pPr>
      <w:r>
        <w:rPr>
          <w:rStyle w:val="Domylnaczcionkaakapitu"/>
          <w:rFonts w:ascii="Arial" w:hAnsi="Arial"/>
          <w:b w:val="false"/>
          <w:bCs w:val="false"/>
          <w:color w:val="000000"/>
          <w:sz w:val="24"/>
          <w:szCs w:val="24"/>
        </w:rPr>
        <w:t xml:space="preserve">Przedmiotem opracowania jest projekt 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przebudowy oraz rozbudowy budynku zaplecza stadionu lekkoatletycznego zlokalizowanego w Strzelcach Opolskich przy ul. Strzelców Bytomskich 2A, działka nr 311</w:t>
      </w:r>
    </w:p>
    <w:p>
      <w:pPr>
        <w:pStyle w:val="Tretekstu"/>
        <w:widowControl/>
        <w:numPr>
          <w:ilvl w:val="0"/>
          <w:numId w:val="4"/>
        </w:numPr>
        <w:tabs>
          <w:tab w:val="clear" w:pos="720"/>
          <w:tab w:val="left" w:pos="280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/>
      </w:pPr>
      <w:r>
        <w:rPr>
          <w:rStyle w:val="Domylnaczcionkaakapitu"/>
          <w:rFonts w:ascii="Arial" w:hAnsi="Arial"/>
          <w:color w:val="000000"/>
          <w:sz w:val="24"/>
          <w:szCs w:val="24"/>
        </w:rPr>
        <w:t>Kategoria obiektu budowlanego: V</w:t>
      </w:r>
    </w:p>
    <w:p>
      <w:pPr>
        <w:pStyle w:val="Tretekstu"/>
        <w:widowControl/>
        <w:numPr>
          <w:ilvl w:val="0"/>
          <w:numId w:val="4"/>
        </w:numPr>
        <w:tabs>
          <w:tab w:val="clear" w:pos="720"/>
          <w:tab w:val="left" w:pos="280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/>
      </w:pPr>
      <w:r>
        <w:rPr>
          <w:rStyle w:val="Domylnaczcionkaakapitu"/>
          <w:rFonts w:ascii="Arial" w:hAnsi="Arial"/>
          <w:color w:val="000000"/>
          <w:sz w:val="24"/>
          <w:szCs w:val="24"/>
        </w:rPr>
        <w:t xml:space="preserve">Nazwa jednostki ewidencyjnej: </w:t>
      </w:r>
      <w:r>
        <w:rPr>
          <w:rStyle w:val="Domylnaczcionkaakapitu"/>
          <w:rFonts w:eastAsia="NSimSun" w:cs="Lucida Sans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lang w:val="pl-PL" w:eastAsia="zh-CN" w:bidi="hi-IN"/>
        </w:rPr>
        <w:t>161105_4 STRZELCE OPOLSKIE – OBSZAR MIEJSKI</w:t>
      </w:r>
    </w:p>
    <w:p>
      <w:pPr>
        <w:pStyle w:val="Tretekstu"/>
        <w:widowControl/>
        <w:numPr>
          <w:ilvl w:val="0"/>
          <w:numId w:val="4"/>
        </w:numPr>
        <w:tabs>
          <w:tab w:val="clear" w:pos="720"/>
          <w:tab w:val="left" w:pos="280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/>
      </w:pPr>
      <w:r>
        <w:rPr>
          <w:rStyle w:val="Domylnaczcionkaakapitu"/>
          <w:rFonts w:ascii="Arial" w:hAnsi="Arial"/>
          <w:color w:val="000000"/>
          <w:sz w:val="24"/>
          <w:szCs w:val="24"/>
        </w:rPr>
        <w:t xml:space="preserve">Nazwa i numer obrębu ewidencyjnego: 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161105_4.0082 STRZELCE OPOLSKIE</w:t>
      </w:r>
    </w:p>
    <w:p>
      <w:pPr>
        <w:pStyle w:val="Tretekstu"/>
        <w:widowControl/>
        <w:numPr>
          <w:ilvl w:val="0"/>
          <w:numId w:val="4"/>
        </w:numPr>
        <w:tabs>
          <w:tab w:val="clear" w:pos="720"/>
          <w:tab w:val="left" w:pos="280" w:leader="none"/>
        </w:tabs>
        <w:suppressAutoHyphens w:val="true"/>
        <w:overflowPunct w:val="true"/>
        <w:bidi w:val="0"/>
        <w:spacing w:lineRule="auto" w:line="276" w:before="0" w:after="0"/>
        <w:ind w:left="340" w:right="0" w:hanging="340"/>
        <w:jc w:val="both"/>
        <w:rPr/>
      </w:pPr>
      <w:r>
        <w:rPr>
          <w:rStyle w:val="Domylnaczcionkaakapitu"/>
          <w:rFonts w:ascii="Arial" w:hAnsi="Arial"/>
          <w:color w:val="000000"/>
          <w:sz w:val="24"/>
          <w:szCs w:val="24"/>
        </w:rPr>
        <w:t>Zakres opracowania obejmuje projekt architektoniczno-budowlany budynku oraz projekt</w:t>
      </w:r>
    </w:p>
    <w:p>
      <w:pPr>
        <w:pStyle w:val="Tretekstu"/>
        <w:widowControl/>
        <w:numPr>
          <w:ilvl w:val="0"/>
          <w:numId w:val="0"/>
        </w:numPr>
        <w:tabs>
          <w:tab w:val="clear" w:pos="720"/>
          <w:tab w:val="left" w:pos="280" w:leader="none"/>
        </w:tabs>
        <w:suppressAutoHyphens w:val="true"/>
        <w:overflowPunct w:val="true"/>
        <w:bidi w:val="0"/>
        <w:spacing w:lineRule="auto" w:line="276" w:before="0" w:after="0"/>
        <w:ind w:left="720" w:right="0" w:hanging="0"/>
        <w:jc w:val="both"/>
        <w:rPr/>
      </w:pPr>
      <w:r>
        <w:rPr>
          <w:rStyle w:val="Domylnaczcionkaakapitu"/>
          <w:rFonts w:ascii="Arial" w:hAnsi="Arial"/>
          <w:color w:val="000000"/>
          <w:sz w:val="24"/>
          <w:szCs w:val="24"/>
        </w:rPr>
        <w:t>zagospodarowania terenu</w:t>
      </w:r>
    </w:p>
    <w:p>
      <w:pPr>
        <w:pStyle w:val="Normalny"/>
        <w:suppressAutoHyphens w:val="true"/>
        <w:spacing w:lineRule="auto" w:line="276"/>
        <w:rPr/>
      </w:pPr>
      <w:r>
        <w:rPr>
          <w:rStyle w:val="Domylnaczcionkaakapitu"/>
          <w:rFonts w:ascii="Arial" w:hAnsi="Arial"/>
          <w:color w:val="000000"/>
        </w:rPr>
        <w:t xml:space="preserve"> </w:t>
      </w:r>
    </w:p>
    <w:p>
      <w:pPr>
        <w:sectPr>
          <w:footerReference w:type="default" r:id="rId3"/>
          <w:type w:val="nextPage"/>
          <w:pgSz w:w="11906" w:h="16838"/>
          <w:pgMar w:left="1134" w:right="1134" w:header="0" w:top="1134" w:footer="1134" w:bottom="1659" w:gutter="0"/>
          <w:pgNumType w:fmt="decimal"/>
          <w:formProt w:val="false"/>
          <w:textDirection w:val="lrTb"/>
          <w:docGrid w:type="default" w:linePitch="312" w:charSpace="0"/>
        </w:sectPr>
        <w:pStyle w:val="Normalny"/>
        <w:suppressAutoHyphens w:val="true"/>
        <w:spacing w:lineRule="auto" w:line="276"/>
        <w:rPr/>
      </w:pPr>
      <w:r>
        <w:rPr>
          <w:rFonts w:ascii="Arial" w:hAnsi="Arial"/>
          <w:b/>
          <w:bCs/>
          <w:color w:val="000000"/>
        </w:rPr>
        <w:t>2. Zamierzony sposób użytkowania oraz program użytkowy obiektów budowlanych</w:t>
      </w:r>
    </w:p>
    <w:tbl>
      <w:tblPr>
        <w:tblW w:w="9072" w:type="dxa"/>
        <w:jc w:val="left"/>
        <w:tblInd w:w="70" w:type="dxa"/>
        <w:tblCellMar>
          <w:top w:w="55" w:type="dxa"/>
          <w:left w:w="70" w:type="dxa"/>
          <w:bottom w:w="55" w:type="dxa"/>
          <w:right w:w="70" w:type="dxa"/>
        </w:tblCellMar>
        <w:tblLook w:firstRow="0" w:noVBand="0" w:lastRow="0" w:firstColumn="0" w:lastColumn="0" w:noHBand="0" w:val="0000"/>
      </w:tblPr>
      <w:tblGrid>
        <w:gridCol w:w="277"/>
        <w:gridCol w:w="808"/>
        <w:gridCol w:w="3969"/>
        <w:gridCol w:w="1813"/>
        <w:gridCol w:w="2205"/>
      </w:tblGrid>
      <w:tr>
        <w:trPr/>
        <w:tc>
          <w:tcPr>
            <w:tcW w:w="90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ZESTAWIENIE POWIERZCHNI UŻYTKOWEJ</w:t>
            </w:r>
          </w:p>
        </w:tc>
      </w:tr>
      <w:tr>
        <w:trPr>
          <w:trHeight w:val="549" w:hRule="atLeast"/>
        </w:trPr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Nr 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Nazwa pomieszczenia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Powierzchnia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Posadzki</w:t>
            </w:r>
          </w:p>
        </w:tc>
      </w:tr>
      <w:tr>
        <w:trPr/>
        <w:tc>
          <w:tcPr>
            <w:tcW w:w="907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BUDYNEK ISTNIEJĄCY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Korytarz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25,82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Magazyn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20,39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0/3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Przedsionek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5,74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0/4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1,73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0/5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Warsztat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15,74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0/6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Kotłownia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12,20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0/7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Szatnia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18,86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0/8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0,89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0/9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2,58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0/10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Natryski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6,59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0/11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Natryski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7,03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0/12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0,89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0/13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WC-męskie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3,52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0/14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Pom. porządkowe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6,11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0/15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 niepełnosprawni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4,23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0/16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Szatnia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18,31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NSimSun" w:cs="Lucida Sans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Lucida Sans" w:ascii="Arial" w:hAnsi="Arial"/>
                <w:color w:val="auto"/>
                <w:kern w:val="2"/>
                <w:sz w:val="22"/>
                <w:szCs w:val="22"/>
                <w:lang w:val="pl-PL" w:eastAsia="zh-CN" w:bidi="hi-IN"/>
              </w:rPr>
              <w:t>Istniejąca posadzka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150,63 m²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907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BUDYNEK PROJEKTOWANY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0/17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 - niepełnosprawni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4,40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0/18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 - męskie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10,43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0/19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Przedsionek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3,96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0/20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 - damskie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8,33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0/21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Pom. pomocnicze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27,99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0/22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Pokój lekarski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15,57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0/23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Magazyn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39,42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0/24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Sanitariaty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15,28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0/25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Szatnia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21,23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0/26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Schowek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6,18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0/27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Szatnia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17,57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0/28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Sanitariat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29,52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0/29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Szatnia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17,45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0/29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Wiatrołap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12,47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0/30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Szatnia sędziego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7,08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0/31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 - sędziego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5,68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1/1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Komunikacja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24,65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1/2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Biuro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9,49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1/3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Pom. socjalne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8,78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1/4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Sala Klubowa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52,87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1/5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Biuro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10,95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1/6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Biuro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8,91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1/7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Biuro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8,91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1/8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Biuro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8,91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1/9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Biuro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8,91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1/10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Sala wielofunkcyjna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45,52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1/11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 damskie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8,10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1/12</w:t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Wc męskie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8,10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Płytki gresowe</w:t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446,66 m²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77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08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3969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181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597,29 m²</w:t>
            </w:r>
          </w:p>
        </w:tc>
        <w:tc>
          <w:tcPr>
            <w:tcW w:w="22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uppressAutoHyphens w:val="true"/>
        <w:spacing w:lineRule="auto" w:line="276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rPr/>
      </w:pPr>
      <w:r>
        <w:rPr>
          <w:rFonts w:ascii="Arial" w:hAnsi="Arial"/>
          <w:color w:val="000000"/>
        </w:rPr>
        <w:t xml:space="preserve">Powierzchnia użytkowa usługowa </w:t>
      </w:r>
      <w:r>
        <w:rPr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istniejąca</w:t>
      </w:r>
      <w:r>
        <w:rPr>
          <w:rFonts w:ascii="Arial" w:hAnsi="Arial"/>
          <w:color w:val="000000"/>
        </w:rPr>
        <w:t xml:space="preserve">: </w:t>
        <w:tab/>
        <w:tab/>
        <w:t>179,24 m</w:t>
      </w:r>
      <w:r>
        <w:rPr>
          <w:rFonts w:ascii="Arial" w:hAnsi="Arial"/>
          <w:color w:val="000000"/>
          <w:vertAlign w:val="superscript"/>
        </w:rPr>
        <w:t>2</w:t>
      </w:r>
    </w:p>
    <w:p>
      <w:pPr>
        <w:pStyle w:val="Normalny"/>
        <w:suppressAutoHyphens w:val="true"/>
        <w:spacing w:lineRule="auto" w:line="276"/>
        <w:rPr/>
      </w:pPr>
      <w:r>
        <w:rPr>
          <w:rFonts w:ascii="Arial" w:hAnsi="Arial"/>
          <w:color w:val="000000"/>
        </w:rPr>
        <w:t xml:space="preserve">Powierzchnia użytkowa usługowa </w:t>
      </w:r>
      <w:r>
        <w:rPr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projektowana</w:t>
      </w:r>
      <w:r>
        <w:rPr>
          <w:rFonts w:ascii="Arial" w:hAnsi="Arial"/>
          <w:color w:val="000000"/>
        </w:rPr>
        <w:t xml:space="preserve">: </w:t>
        <w:tab/>
        <w:t>597,</w:t>
      </w:r>
      <w:r>
        <w:rPr>
          <w:rFonts w:ascii="Arial" w:hAnsi="Arial"/>
          <w:color w:val="000000"/>
        </w:rPr>
        <w:t>29</w:t>
      </w:r>
      <w:r>
        <w:rPr>
          <w:rFonts w:ascii="Arial" w:hAnsi="Arial"/>
          <w:color w:val="000000"/>
        </w:rPr>
        <w:t>m</w:t>
      </w:r>
      <w:r>
        <w:rPr>
          <w:rFonts w:ascii="Arial" w:hAnsi="Arial"/>
          <w:color w:val="000000"/>
          <w:vertAlign w:val="superscript"/>
        </w:rPr>
        <w:t>2</w:t>
      </w:r>
    </w:p>
    <w:p>
      <w:pPr>
        <w:pStyle w:val="Normalny"/>
        <w:suppressAutoHyphens w:val="true"/>
        <w:spacing w:lineRule="auto" w:line="276"/>
        <w:rPr>
          <w:color w:val="000000"/>
        </w:rPr>
      </w:pPr>
      <w:r>
        <w:rPr>
          <w:rFonts w:ascii="Arial" w:hAnsi="Arial"/>
          <w:color w:val="000000"/>
        </w:rPr>
        <w:tab/>
      </w:r>
    </w:p>
    <w:p>
      <w:pPr>
        <w:pStyle w:val="Normalny"/>
        <w:suppressAutoHyphens w:val="true"/>
        <w:spacing w:lineRule="auto" w:line="27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rPr/>
      </w:pPr>
      <w:r>
        <w:rPr>
          <w:rStyle w:val="Domylnaczcionkaakapitu"/>
          <w:rFonts w:ascii="Arial" w:hAnsi="Arial"/>
          <w:b/>
          <w:bCs/>
          <w:color w:val="000000"/>
        </w:rPr>
        <w:t>3. Układ przestrzenny oraz forma architektoniczna obiektu budowlanego</w:t>
      </w:r>
    </w:p>
    <w:p>
      <w:pPr>
        <w:pStyle w:val="Normalny"/>
        <w:suppressAutoHyphens w:val="true"/>
        <w:spacing w:lineRule="auto" w:line="276"/>
        <w:rPr/>
      </w:pPr>
      <w:r>
        <w:rPr>
          <w:rStyle w:val="Domylnaczcionkaakapitu"/>
          <w:rFonts w:ascii="Arial" w:hAnsi="Arial"/>
          <w:b/>
          <w:bCs/>
          <w:color w:val="000000"/>
        </w:rPr>
        <w:t>3.1 Forma architektoniczna.</w:t>
      </w:r>
    </w:p>
    <w:p>
      <w:pPr>
        <w:pStyle w:val="Tretekstu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/>
      </w:pPr>
      <w:r>
        <w:rPr>
          <w:rStyle w:val="Domylnaczcionkaakapitu"/>
          <w:rFonts w:eastAsia="SimSun" w:ascii="Arial" w:hAnsi="Arial"/>
          <w:color w:val="000000"/>
          <w:position w:val="0"/>
          <w:sz w:val="24"/>
          <w:sz w:val="24"/>
          <w:vertAlign w:val="baseline"/>
        </w:rPr>
        <w:t xml:space="preserve">Projektowany budynek </w:t>
      </w:r>
      <w:r>
        <w:rPr>
          <w:rStyle w:val="Domylnaczcionkaakapitu"/>
          <w:rFonts w:eastAsia="SimSun" w:cs="Lucida Sans" w:ascii="Arial" w:hAnsi="Arial"/>
          <w:color w:val="000000"/>
          <w:kern w:val="2"/>
          <w:position w:val="0"/>
          <w:sz w:val="24"/>
          <w:sz w:val="24"/>
          <w:szCs w:val="24"/>
          <w:vertAlign w:val="baseline"/>
          <w:lang w:val="pl-PL" w:eastAsia="zh-CN" w:bidi="hi-IN"/>
        </w:rPr>
        <w:t>w kształcie</w:t>
      </w:r>
      <w:r>
        <w:rPr>
          <w:rStyle w:val="Domylnaczcionkaakapitu"/>
          <w:rFonts w:eastAsia="SimSun" w:ascii="Arial" w:hAnsi="Arial"/>
          <w:color w:val="000000"/>
          <w:position w:val="0"/>
          <w:sz w:val="24"/>
          <w:sz w:val="24"/>
          <w:vertAlign w:val="baseline"/>
        </w:rPr>
        <w:t xml:space="preserve"> zbliżonym do p</w:t>
      </w:r>
      <w:r>
        <w:rPr>
          <w:rStyle w:val="Domylnaczcionkaakapitu"/>
          <w:rFonts w:eastAsia="SimSun" w:cs="Lucida Sans" w:ascii="Arial" w:hAnsi="Arial"/>
          <w:color w:val="000000"/>
          <w:kern w:val="2"/>
          <w:position w:val="0"/>
          <w:sz w:val="24"/>
          <w:sz w:val="24"/>
          <w:szCs w:val="24"/>
          <w:vertAlign w:val="baseline"/>
          <w:lang w:val="pl-PL" w:eastAsia="zh-CN" w:bidi="hi-IN"/>
        </w:rPr>
        <w:t>rostokąta</w:t>
      </w:r>
      <w:r>
        <w:rPr>
          <w:rStyle w:val="Domylnaczcionkaakapitu"/>
          <w:rFonts w:eastAsia="SimSun" w:ascii="Arial" w:hAnsi="Arial"/>
          <w:color w:val="000000"/>
          <w:position w:val="0"/>
          <w:sz w:val="24"/>
          <w:sz w:val="24"/>
          <w:vertAlign w:val="baseline"/>
        </w:rPr>
        <w:t xml:space="preserve">. Dach </w:t>
      </w:r>
      <w:r>
        <w:rPr>
          <w:rStyle w:val="Domylnaczcionkaakapitu"/>
          <w:rFonts w:eastAsia="SimSun" w:cs="Lucida San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jednospadowy</w:t>
      </w:r>
      <w:r>
        <w:rPr>
          <w:rStyle w:val="Domylnaczcionkaakapitu"/>
          <w:rFonts w:eastAsia="SimSun" w:ascii="Arial" w:hAnsi="Arial"/>
          <w:color w:val="000000"/>
          <w:position w:val="0"/>
          <w:sz w:val="24"/>
          <w:sz w:val="24"/>
          <w:vertAlign w:val="baseline"/>
        </w:rPr>
        <w:t xml:space="preserve"> o kącie nachylenia </w:t>
      </w:r>
      <w:r>
        <w:rPr>
          <w:rStyle w:val="Domylnaczcionkaakapitu"/>
          <w:rFonts w:eastAsia="SimSun" w:cs="Lucida San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1,72</w:t>
      </w:r>
      <w:r>
        <w:rPr>
          <w:rStyle w:val="Domylnaczcionkaakapitu"/>
          <w:rFonts w:eastAsia="SimSun" w:cs="Lucida Sans" w:ascii="Arial" w:hAnsi="Arial"/>
          <w:color w:val="000000"/>
          <w:position w:val="0"/>
          <w:sz w:val="24"/>
          <w:sz w:val="24"/>
          <w:vertAlign w:val="baseline"/>
        </w:rPr>
        <w:t>º</w:t>
      </w:r>
      <w:r>
        <w:rPr>
          <w:rStyle w:val="Domylnaczcionkaakapitu"/>
          <w:rFonts w:eastAsia="SimSun" w:ascii="Arial" w:hAnsi="Arial"/>
          <w:color w:val="000000"/>
          <w:position w:val="0"/>
          <w:sz w:val="24"/>
          <w:sz w:val="24"/>
          <w:vertAlign w:val="baseline"/>
        </w:rPr>
        <w:t xml:space="preserve">. Główne </w:t>
      </w:r>
      <w:r>
        <w:rPr>
          <w:rStyle w:val="Domylnaczcionkaakapitu"/>
          <w:rFonts w:eastAsia="SimSun" w:cs="Lucida Sans" w:ascii="Arial" w:hAnsi="Arial"/>
          <w:color w:val="000000"/>
          <w:kern w:val="2"/>
          <w:position w:val="0"/>
          <w:sz w:val="24"/>
          <w:sz w:val="24"/>
          <w:szCs w:val="24"/>
          <w:vertAlign w:val="baseline"/>
          <w:lang w:val="pl-PL" w:eastAsia="zh-CN" w:bidi="hi-IN"/>
        </w:rPr>
        <w:t>w</w:t>
      </w:r>
      <w:r>
        <w:rPr>
          <w:rStyle w:val="Domylnaczcionkaakapitu"/>
          <w:rFonts w:eastAsia="SimSun" w:ascii="Arial" w:hAnsi="Arial"/>
          <w:color w:val="000000"/>
          <w:position w:val="0"/>
          <w:sz w:val="24"/>
          <w:sz w:val="24"/>
          <w:vertAlign w:val="baseline"/>
        </w:rPr>
        <w:t>ejści</w:t>
      </w:r>
      <w:r>
        <w:rPr>
          <w:rStyle w:val="Domylnaczcionkaakapitu"/>
          <w:rFonts w:eastAsia="SimSun" w:cs="Lucida Sans" w:ascii="Arial" w:hAnsi="Arial"/>
          <w:color w:val="000000"/>
          <w:kern w:val="2"/>
          <w:position w:val="0"/>
          <w:sz w:val="24"/>
          <w:sz w:val="24"/>
          <w:szCs w:val="24"/>
          <w:vertAlign w:val="baseline"/>
          <w:lang w:val="pl-PL" w:eastAsia="zh-CN" w:bidi="hi-IN"/>
        </w:rPr>
        <w:t>e</w:t>
      </w:r>
      <w:r>
        <w:rPr>
          <w:rStyle w:val="Domylnaczcionkaakapitu"/>
          <w:rFonts w:eastAsia="SimSun" w:ascii="Arial" w:hAnsi="Arial"/>
          <w:color w:val="000000"/>
          <w:position w:val="0"/>
          <w:sz w:val="24"/>
          <w:sz w:val="24"/>
          <w:vertAlign w:val="baseline"/>
        </w:rPr>
        <w:t xml:space="preserve"> do budynku zaprojektowano od </w:t>
      </w:r>
      <w:r>
        <w:rPr>
          <w:rStyle w:val="Domylnaczcionkaakapitu"/>
          <w:rFonts w:eastAsia="SimSun" w:cs="Lucida San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północy</w:t>
      </w:r>
      <w:r>
        <w:rPr>
          <w:rStyle w:val="Domylnaczcionkaakapitu"/>
          <w:rFonts w:eastAsia="SimSun" w:ascii="Arial" w:hAnsi="Arial"/>
          <w:color w:val="000000"/>
          <w:position w:val="0"/>
          <w:sz w:val="24"/>
          <w:sz w:val="24"/>
          <w:vertAlign w:val="baseline"/>
        </w:rPr>
        <w:t>.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3.2 Funkcja obiektu budowlanego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Projektuje się </w:t>
      </w:r>
      <w:r>
        <w:rPr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przebudowę oraz rozbudowę istniejącego budynku zaplecza stadionu lekkoatletycznego.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 xml:space="preserve">3.3 </w:t>
      </w:r>
      <w:r>
        <w:rPr>
          <w:rFonts w:eastAsia="NSimSun" w:cs="Arial Unicode MS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Dostosowanie do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eastAsia="NSimSun" w:cs="Arial Unicode MS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Miejscowego</w:t>
      </w:r>
      <w:r>
        <w:rPr>
          <w:rFonts w:ascii="Arial" w:hAnsi="Arial"/>
          <w:b/>
          <w:bCs/>
          <w:color w:val="000000"/>
        </w:rPr>
        <w:t xml:space="preserve"> Plan</w:t>
      </w:r>
      <w:r>
        <w:rPr>
          <w:rFonts w:eastAsia="NSimSun" w:cs="Arial Unicode MS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u</w:t>
      </w:r>
      <w:r>
        <w:rPr>
          <w:rFonts w:ascii="Arial" w:hAnsi="Arial"/>
          <w:b/>
          <w:bCs/>
          <w:color w:val="000000"/>
        </w:rPr>
        <w:t xml:space="preserve"> Zagospodarowania Przestrzennego</w:t>
      </w:r>
    </w:p>
    <w:p>
      <w:pPr>
        <w:pStyle w:val="Normal"/>
        <w:tabs>
          <w:tab w:val="clear" w:pos="720"/>
          <w:tab w:val="left" w:pos="280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Warunki spełnienia szczegółowych zapisów miejscowego planu zagospodarowania przestrzennego zatwierdzonego – UCHWAŁA NR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XXXV/318/05 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RADY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MIEJSKIEJ W STRZELCACH OPOLSKICH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 z dnia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1 czerwca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 2005 r. w sprawie uchwalenia miejscowego planu zagospodarowania przestrzennego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fragmentu miasta Strzelce Opolskie – w rejonie ulicy Szpitalnej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  – 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tereny usług sportu i rekreacji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 xml:space="preserve"> – oznaczony symbolem </w:t>
      </w: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 xml:space="preserve">US 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>– oświadczam, że projektowana inwestycja spełnia wymogi stawiane przez miejscowy plan zagospodarowania przestrzennego. Szczegółowe informacje dotyczące spełnienia wyżej wymienionego planu znajdują się w projekcie zagospodarowania terenu pkt 5.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Arial" w:hAnsi="Arial"/>
          <w:b w:val="false"/>
          <w:bCs w:val="false"/>
          <w:color w:val="000000"/>
          <w:sz w:val="24"/>
          <w:szCs w:val="24"/>
        </w:rPr>
      </w:r>
    </w:p>
    <w:p>
      <w:pPr>
        <w:pStyle w:val="Normalny"/>
        <w:suppressAutoHyphens w:val="true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4. Charakterystyczne parametry obiektów budowlanych:</w:t>
      </w:r>
    </w:p>
    <w:p>
      <w:pPr>
        <w:pStyle w:val="Normalny"/>
        <w:suppressAutoHyphens w:val="true"/>
        <w:jc w:val="both"/>
        <w:rPr/>
      </w:pPr>
      <w:r>
        <w:rPr>
          <w:rStyle w:val="Domylnaczcionkaakapitu"/>
          <w:rFonts w:ascii="Arial" w:hAnsi="Arial"/>
          <w:color w:val="000000"/>
        </w:rPr>
        <w:t>LICZBA KONDYGNACJI NADZIEMNYCH: 2</w:t>
      </w:r>
    </w:p>
    <w:p>
      <w:pPr>
        <w:pStyle w:val="Normalny"/>
        <w:suppressAutoHyphens w:val="true"/>
        <w:jc w:val="both"/>
        <w:rPr/>
      </w:pPr>
      <w:r>
        <w:rPr>
          <w:rStyle w:val="Domylnaczcionkaakapitu"/>
          <w:rFonts w:ascii="Arial" w:hAnsi="Arial"/>
          <w:color w:val="000000"/>
        </w:rPr>
        <w:t>LICZBA KONDYGNACJI PODZIEMNYCH: 0</w:t>
      </w:r>
    </w:p>
    <w:p>
      <w:pPr>
        <w:pStyle w:val="Normalny"/>
        <w:suppressAutoHyphens w:val="true"/>
        <w:jc w:val="both"/>
        <w:rPr/>
      </w:pPr>
      <w:r>
        <w:rPr>
          <w:rStyle w:val="Domylnaczcionkaakapitu"/>
          <w:rFonts w:ascii="Arial" w:hAnsi="Arial"/>
          <w:color w:val="000000"/>
        </w:rPr>
        <w:t xml:space="preserve">POWIERZCHNIA UŻYTKOWA OGÓŁEM (NETTO) Pu = </w:t>
      </w:r>
      <w:r>
        <w:rPr>
          <w:rStyle w:val="Domylnaczcionkaakapitu"/>
          <w:rFonts w:cs="Arial Unicode MS" w:ascii="Arial" w:hAnsi="Arial"/>
          <w:color w:val="000000"/>
          <w:sz w:val="24"/>
        </w:rPr>
        <w:t>597,65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 xml:space="preserve"> </w:t>
      </w:r>
      <w:r>
        <w:rPr>
          <w:rStyle w:val="Domylnaczcionkaakapitu"/>
          <w:rFonts w:ascii="Arial" w:hAnsi="Arial"/>
          <w:color w:val="000000"/>
        </w:rPr>
        <w:t>m</w:t>
      </w:r>
      <w:r>
        <w:rPr>
          <w:rStyle w:val="Domylnaczcionkaakapitu"/>
          <w:rFonts w:ascii="Arial" w:hAnsi="Arial"/>
          <w:color w:val="000000"/>
          <w:position w:val="6"/>
          <w:sz w:val="16"/>
        </w:rPr>
        <w:t xml:space="preserve">2 </w:t>
      </w:r>
    </w:p>
    <w:p>
      <w:pPr>
        <w:pStyle w:val="Normalny"/>
        <w:suppressAutoHyphens w:val="true"/>
        <w:jc w:val="both"/>
        <w:rPr/>
      </w:pPr>
      <w:r>
        <w:rPr>
          <w:rStyle w:val="Domylnaczcionkaakapitu"/>
          <w:rFonts w:ascii="Arial" w:hAnsi="Arial"/>
          <w:color w:val="000000"/>
        </w:rPr>
        <w:t xml:space="preserve">POWIERZCHNIA ZABUDOWY: Pz = 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496,9</w:t>
      </w:r>
      <w:r>
        <w:rPr>
          <w:rStyle w:val="Domylnaczcionkaakapitu"/>
          <w:rFonts w:ascii="Arial" w:hAnsi="Arial"/>
          <w:color w:val="000000"/>
        </w:rPr>
        <w:t xml:space="preserve"> m</w:t>
      </w:r>
      <w:r>
        <w:rPr>
          <w:rStyle w:val="Domylnaczcionkaakapitu"/>
          <w:rFonts w:ascii="Arial" w:hAnsi="Arial"/>
          <w:color w:val="000000"/>
          <w:position w:val="6"/>
          <w:sz w:val="16"/>
        </w:rPr>
        <w:t>2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KUBATURA: </w:t>
      </w:r>
    </w:p>
    <w:p>
      <w:pPr>
        <w:pStyle w:val="Bezodstpw"/>
        <w:spacing w:lineRule="auto" w:line="276"/>
        <w:jc w:val="both"/>
        <w:rPr/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– </w:t>
      </w:r>
      <w:r>
        <w:rPr>
          <w:rFonts w:eastAsia="Helvetica Neue Light" w:cs="Calibri" w:ascii="Arial" w:hAnsi="Arial"/>
          <w:color w:val="000000"/>
          <w:sz w:val="24"/>
          <w:szCs w:val="24"/>
        </w:rPr>
        <w:t>istniejąca</w:t>
        <w:tab/>
        <w:tab/>
        <w:t>853,16 m</w:t>
      </w:r>
      <w:r>
        <w:rPr>
          <w:rStyle w:val="Domylnaczcionkaakapitu"/>
          <w:rFonts w:eastAsia="Helvetica Neue Light" w:cs="Calibri" w:ascii="Arial" w:hAnsi="Arial"/>
          <w:color w:val="000000"/>
          <w:position w:val="6"/>
          <w:sz w:val="16"/>
          <w:szCs w:val="24"/>
        </w:rPr>
        <w:t>3</w:t>
      </w:r>
    </w:p>
    <w:p>
      <w:pPr>
        <w:pStyle w:val="Bezodstpw"/>
        <w:spacing w:lineRule="auto" w:line="276"/>
        <w:jc w:val="both"/>
        <w:rPr/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– </w:t>
      </w:r>
      <w:r>
        <w:rPr>
          <w:rFonts w:eastAsia="Helvetica Neue Light" w:cs="Calibri" w:ascii="Arial" w:hAnsi="Arial"/>
          <w:color w:val="000000"/>
          <w:sz w:val="24"/>
          <w:szCs w:val="24"/>
        </w:rPr>
        <w:t>projektowana</w:t>
        <w:tab/>
        <w:t>1 818,67 m</w:t>
      </w:r>
      <w:r>
        <w:rPr>
          <w:rStyle w:val="Domylnaczcionkaakapitu"/>
          <w:rFonts w:eastAsia="Helvetica Neue Light" w:cs="Calibri" w:ascii="Arial" w:hAnsi="Arial"/>
          <w:color w:val="000000"/>
          <w:position w:val="6"/>
          <w:sz w:val="16"/>
          <w:szCs w:val="24"/>
        </w:rPr>
        <w:t>3</w:t>
      </w:r>
    </w:p>
    <w:p>
      <w:pPr>
        <w:pStyle w:val="Bezodstpw"/>
        <w:suppressAutoHyphens w:val="true"/>
        <w:spacing w:lineRule="auto" w:line="276"/>
        <w:jc w:val="both"/>
        <w:rPr/>
      </w:pPr>
      <w:r>
        <w:rPr>
          <w:rStyle w:val="Domylnaczcionkaakapitu"/>
          <w:rFonts w:eastAsia="Helvetica Neue Light" w:cs="Calibri" w:ascii="Arial" w:hAnsi="Arial"/>
          <w:color w:val="000000"/>
          <w:position w:val="0"/>
          <w:sz w:val="24"/>
          <w:sz w:val="24"/>
          <w:szCs w:val="24"/>
          <w:vertAlign w:val="baseline"/>
        </w:rPr>
        <w:t xml:space="preserve">– </w:t>
      </w:r>
      <w:r>
        <w:rPr>
          <w:rStyle w:val="Domylnaczcionkaakapitu"/>
          <w:rFonts w:eastAsia="Helvetica Neue Light" w:cs="Calibri" w:ascii="Arial" w:hAnsi="Arial"/>
          <w:color w:val="000000"/>
          <w:position w:val="0"/>
          <w:sz w:val="24"/>
          <w:sz w:val="24"/>
          <w:szCs w:val="24"/>
          <w:vertAlign w:val="baseline"/>
        </w:rPr>
        <w:t>SUMA</w:t>
        <w:tab/>
        <w:tab/>
        <w:t>2 671,83</w:t>
      </w:r>
      <w:r>
        <w:rPr>
          <w:rStyle w:val="Domylnaczcionkaakapitu"/>
          <w:rFonts w:cs="Calibri" w:ascii="Arial" w:hAnsi="Arial"/>
          <w:color w:val="000000"/>
          <w:position w:val="0"/>
          <w:sz w:val="24"/>
          <w:sz w:val="24"/>
          <w:szCs w:val="24"/>
          <w:vertAlign w:val="baseline"/>
        </w:rPr>
        <w:t xml:space="preserve"> m</w:t>
      </w:r>
      <w:r>
        <w:rPr>
          <w:rStyle w:val="Domylnaczcionkaakapitu"/>
          <w:rFonts w:eastAsia="Times New Roman" w:cs="Calibri" w:ascii="Arial" w:hAnsi="Arial"/>
          <w:color w:val="000000"/>
          <w:kern w:val="2"/>
          <w:sz w:val="24"/>
          <w:szCs w:val="24"/>
          <w:vertAlign w:val="superscript"/>
          <w:lang w:val="pl-PL" w:eastAsia="zh-CN" w:bidi="ar-SA"/>
        </w:rPr>
        <w:t>3</w:t>
      </w:r>
    </w:p>
    <w:p>
      <w:pPr>
        <w:pStyle w:val="Tekstpodstawowy"/>
        <w:suppressAutoHyphens w:val="true"/>
        <w:spacing w:lineRule="auto" w:line="360" w:before="0" w:after="0"/>
        <w:jc w:val="both"/>
        <w:rPr>
          <w:rFonts w:ascii="Arial" w:hAnsi="Arial" w:cs="Arial"/>
          <w:b/>
          <w:b/>
          <w:bCs/>
          <w:color w:val="000000"/>
          <w:sz w:val="20"/>
          <w:szCs w:val="28"/>
        </w:rPr>
      </w:pPr>
      <w:r>
        <w:rPr>
          <w:rFonts w:cs="Arial" w:ascii="Arial" w:hAnsi="Arial"/>
          <w:b/>
          <w:bCs/>
          <w:color w:val="000000"/>
          <w:sz w:val="20"/>
          <w:szCs w:val="28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5. Opinia geotechniczna oraz informację o sposobie posadowienia obiektu budowlanego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 w:val="false"/>
          <w:bCs w:val="false"/>
          <w:color w:val="000000"/>
          <w:sz w:val="24"/>
          <w:szCs w:val="24"/>
        </w:rPr>
        <w:tab/>
        <w:t xml:space="preserve"> Z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godnie z załącznikiem nr 3 Załączników projektu budowlanego.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sz w:val="24"/>
        </w:rPr>
        <w:t>6</w:t>
      </w:r>
      <w:r>
        <w:rPr>
          <w:rStyle w:val="Domylnaczcionkaakapitu"/>
          <w:rFonts w:ascii="Arial" w:hAnsi="Arial"/>
          <w:b/>
          <w:bCs/>
          <w:color w:val="000000"/>
        </w:rPr>
        <w:t>. Opis zapewnienia niezbędnych warunków do korzystania z obiektów użyteczności publicznej i mieszkaniowego budownictwa wielorodzinnego przez osoby niepełnosprawne, o których mowa w art. 1 Konwencji o prawach osób niepełnosprawnych, sporządzonej w Nowym Jorku dnia 13 grudnia 2006 r., w tym osoby starsze.</w:t>
      </w:r>
    </w:p>
    <w:p>
      <w:pPr>
        <w:pStyle w:val="Normal"/>
        <w:suppressAutoHyphens w:val="true"/>
        <w:spacing w:lineRule="auto" w:line="276"/>
        <w:jc w:val="both"/>
        <w:rPr/>
      </w:pP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ab/>
        <w:t xml:space="preserve">Zgodnie z </w:t>
      </w:r>
      <w:r>
        <w:rPr>
          <w:rStyle w:val="Style81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ustawa z dnia 7 lipca 1994 r. - Prawo budowlane 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(tekst jednolity: Dz. U. z 2016 poz. 290), </w:t>
      </w:r>
      <w:r>
        <w:rPr>
          <w:rStyle w:val="Style81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rozporządzenie Ministra Infrastruktury z dnia 12 kwietnia 2002 r. w sprawie warunków technicznych, jakim powinny odpowiadać budynki i ich usytuowanie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 (Dz. U. z 2015</w:t>
      </w:r>
      <w:r>
        <w:rPr>
          <w:rStyle w:val="Appleconvertedspace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> 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 xml:space="preserve">poz. 1422) wejście główne do budynku zostało przystosowane dla osób niepełnosprawnych – brak progów umożliwia swobodny ruchu wózka inwalidzkiego. 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WC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 xml:space="preserve"> ogólnodostępn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e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 xml:space="preserve"> zlokalizowan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e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 xml:space="preserve"> w poziomie parteru dostosowan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e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hi-IN"/>
        </w:rPr>
        <w:t xml:space="preserve"> dla osób niepełnosprawnych. Szerokość skrzydeł drzwi zaprojektowano jako 90 cm, co umożliwia swobodny dostęp osobom niepełnosprawnym do poszczególnych pomieszczeń.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sz w:val="24"/>
        </w:rPr>
        <w:t>7</w:t>
      </w:r>
      <w:r>
        <w:rPr>
          <w:rStyle w:val="Domylnaczcionkaakapitu"/>
          <w:rFonts w:ascii="Arial" w:hAnsi="Arial"/>
          <w:b/>
          <w:bCs/>
          <w:color w:val="000000"/>
        </w:rPr>
        <w:t>. Parametry techniczne obiektu budowlanego charakteryzujące wpływ obiektu budowlanego na środowisko i jego wykorzystywanie oraz na zdrowie ludzi i obiekty sąsiednie pod względem: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a) zapotrzebowania i jakości wody oraz ilości, jakości i sposobu odprowadzania ścieków oraz wód opadowych: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ab/>
        <w:t>W obiekcie przewiduje się 7 osób będąc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ymi</w:t>
      </w:r>
      <w:r>
        <w:rPr>
          <w:rStyle w:val="Domylnaczcionkaakapitu"/>
          <w:rFonts w:ascii="Arial" w:hAnsi="Arial"/>
          <w:color w:val="000000"/>
        </w:rPr>
        <w:t xml:space="preserve"> stałymi użytkownikami – zużycie wody ok. 30 dm3/os/dzień, 100% zużytej wody odprowadzane będzie w postaci ścieków sanitarnych tj. 210 dm3/dzień.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ab/>
        <w:t>Okresowo tj. w trakcie wydarzeń sportowych przewiduje się, że z budynku korzystać będzie maksymalnie 78 sportowców oraz 6 sędziów dla których zużycie wody szacuje się  na poziomie 120 dm3/os/dzień, 100% zużytej wody odprowadzane będzie w postaci ścieków sanitarnych tj. 10 080 dm3/dzień.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ab/>
        <w:t>W trakcie wydarzeń sportowych przewiduje się, że z toalety dla kibiców korzystać będzie około 100 osób dla których zużycie wody szacuje się na poziomie 5 dm3/os/dzień, 100% zużytej wody odprowadzane będzie w postaci ścieków sanitarnych tj. 375 dm3/dzień.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Wszystkie wytwarzane ścieki bytowe odprowadzane będą do sieci kanalizacji sanitarnej.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b) emisja zanieczyszczeń gazowych, w tym zapachów, pyłowych i płynnych, z podaniem ich rodzaju, ilości i zasięgu rozprzestrzeniania się -</w:t>
      </w:r>
      <w:r>
        <w:rPr>
          <w:rStyle w:val="Domylnaczcionkaakapitu"/>
          <w:rFonts w:ascii="Arial" w:hAnsi="Arial"/>
          <w:color w:val="000000"/>
        </w:rPr>
        <w:t xml:space="preserve"> brak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 xml:space="preserve">c) rodzaju i ilości wytwarzanych odpadów </w:t>
      </w:r>
      <w:r>
        <w:rPr>
          <w:rStyle w:val="Domylnaczcionkaakapitu"/>
          <w:rFonts w:ascii="Arial" w:hAnsi="Arial"/>
          <w:color w:val="000000"/>
        </w:rPr>
        <w:t>- wynikające z eksploatacji budynku będą składowane w zamykanym kontenerze. Lokalizacja kontenera istniejąca na terenie działki. Zaleca się wstępną segregację odpadów do powtórnego przetworzenia.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d) właściwości akustyczne oraz emisji drgań, a także promieniowania, w szczególności jonizującego, pola elektro-magnetycznego i innych zakłóceń, z podaniem odpowiednich parametrów tych czynników i zasięgu ich rozprzestrzeniania się –</w:t>
      </w:r>
      <w:r>
        <w:rPr>
          <w:rStyle w:val="Domylnaczcionkaakapitu"/>
          <w:rFonts w:ascii="Arial" w:hAnsi="Arial"/>
          <w:color w:val="000000"/>
        </w:rPr>
        <w:t xml:space="preserve"> brak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 xml:space="preserve">e) wpływu obiektu budowlanego na istniejący drzewostan, powierzchnię ziemi, w tym glebę, wody powierzchniowe i podziemne </w:t>
      </w:r>
      <w:r>
        <w:rPr>
          <w:rStyle w:val="Domylnaczcionkaakapitu"/>
          <w:rFonts w:ascii="Arial" w:hAnsi="Arial"/>
          <w:color w:val="000000"/>
        </w:rPr>
        <w:t>- Planowana inwestycja nie ma wpływu na istniejący drzewostan, glebę i wodę, a przyjęte rozwiązania przestrzenne, funkcjonalne i techniczne ograniczają wpływ obiektu na zdrowie ludzi i są zgodne z przepisami sanitarnymi, pożarowymi oraz bezpieczeństwa i higieny pracy.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sz w:val="24"/>
        </w:rPr>
        <w:t>8</w:t>
      </w:r>
      <w:r>
        <w:rPr>
          <w:rStyle w:val="Domylnaczcionkaakapitu"/>
          <w:rFonts w:ascii="Arial" w:hAnsi="Arial"/>
          <w:b/>
          <w:bCs/>
          <w:color w:val="000000"/>
        </w:rPr>
        <w:t>. Analiza techniczna, środowiskowych i ekonomicznych możliwości realizacji wysoce wydajnych systemów alternatywnych zaopatrzenia w energię i ciepło, w tym zdecentralizowanych systemów dostawy energii opartych na energii ze źródeł odnawialnych, kogenerację, ogrzewanie lub chłodzenie lokalne lub blokowe, w szczególności gdy opiera się całkowicie lub częściowo na energii z odnawialnych źródeł energii, o których mowa w art. 2 pkt 22 ustawy z dnia 20 lutego 2015 r. o odnawialnych źródłach energii (Dz. U. z 2020 r. poz. 261, 284, 568, 695, 1086 i 1503), oraz pompy ciepła, określającą: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 xml:space="preserve">Zaopatrzenie budynku w energię cieplną w postaci 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kotła gazowego.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Wykorzystanie energii geotermalnej jest możliwe pod względem technicznym ze względu na dostateczną  ilość miejsca potrzebnego na wykonanie źródła dolnego (wymiennika lub sond gruntowych). Ten sposób zaopatrzenia budynku w energię cieplną jest jednak nieracjonalny pod względem ekonomicznym. Pod względem środowiskowym jest to rozwiązanie proekologiczne.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 xml:space="preserve">Wykorzystanie energii promieniowania słonecznego jest racjonalne pod względem technicznym i środowiskowym do przygotowania ciepłej wody użytkowej. Wymaga jednak zastosowania dodatkowych rozwiązań służących magazynowaniu nadmiaru ciepła w okresie dużego nasłonecznienia i uzupełniania niedoborów ciepła w okresie nasłonecznienia niedostatecznego. Jednak, ze względu na 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duże</w:t>
      </w:r>
      <w:r>
        <w:rPr>
          <w:rStyle w:val="Domylnaczcionkaakapitu"/>
          <w:rFonts w:ascii="Arial" w:hAnsi="Arial"/>
          <w:color w:val="000000"/>
        </w:rPr>
        <w:t xml:space="preserve"> zapotrzebowanie ciepłej wody związane ze specyfiką obiektu oraz biorąc pod uwagę względy ekonomiczne, ten sposób zaopatrzenia w energię cieplną należy uznać za nieuzasadniony ze względu na wysokie koszty. 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 xml:space="preserve">Wykorzystanie energii wiatru i skojarzona produkcja energii elektrycznej i cieplnej w przypadku projektowanej inwestycji jest nieuzasadniona pod względem technicznym i ekonomicznym. 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sz w:val="24"/>
        </w:rPr>
        <w:t>9</w:t>
      </w:r>
      <w:r>
        <w:rPr>
          <w:rStyle w:val="Domylnaczcionkaakapitu"/>
          <w:rFonts w:ascii="Arial" w:hAnsi="Arial"/>
          <w:b/>
          <w:bCs/>
          <w:color w:val="000000"/>
        </w:rPr>
        <w:t>. Analiza technicznych i ekonomicznych możliwości wykorzystania urządzeń, które automatycznie regulują temperaturę oddzielnie w poszczególnych pomieszczeniach lub w wyznaczonej strefie ogrzewanej, zgodnie z § 135 ust. 7–10 i § 147 ust. 5–7 rozporządzenia Ministra Infrastruktury z dnia 12 kwietnia 2002 r. w sprawie warunków technicznych, jakim powinny odpowiadać budynki i ich usytuowanie (Dz. U. z 2019 r. poz. 1065 oraz z 2020 r. Poz. 1608);’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rPr/>
      </w:pPr>
      <w:r>
        <w:rPr>
          <w:rStyle w:val="Domylnaczcionkaakapitu"/>
          <w:rFonts w:ascii="Arial" w:hAnsi="Arial"/>
          <w:b/>
          <w:bCs/>
          <w:color w:val="000000"/>
          <w:sz w:val="24"/>
          <w:szCs w:val="24"/>
        </w:rPr>
        <w:t>9.1 Analiza możliwości wykorzystania odnawialnych źródeł energii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Energia geotermalna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Ze względu na lokalizację budynku objętego zakresem opracowani</w:t>
      </w:r>
      <w:r>
        <w:rPr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a</w:t>
      </w:r>
      <w:r>
        <w:rPr>
          <w:rFonts w:ascii="Arial" w:hAnsi="Arial"/>
          <w:color w:val="000000"/>
        </w:rPr>
        <w:t xml:space="preserve"> w znacznej odległości od najbliższych zabudowań, możliwych z punktu widzenia rachunku ekonomicznego oraz inwestycyjnego źródeł energii geotermalnej, nie przewiduje się wykorzystania tego typu energii. 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Energia promieniowania słonecznego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Nie przewiduje się montażu paneli słonecznych do podgrzewu ciepłej wody użytkowej oraz instalacji fotowoltaicznej.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Energia wiatru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Z uwagi na koszty instalacji i długi okres zwrotu inwestycji, nie przewiduje się budowy indywidualnego źródła energii z wykorzystaniem energii wiatru.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Brak informacji odnośnie planowanych modernizacji systemu energetycznego i ewentualnej zmiany sposobu wytwarzania energii elektrycznej w najbliższych latach od dostawcy energii elektrycznej.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Skojarzona produkcja energii elektrycznej i ciepła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W projektowanym budynku nie przewiduje się wykorzystania skojarzonej energii elektrycznej i ciepła.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Energia zgromadzona w gruncie i powietrzu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Ze względu na znaczne koszty inwestycyjne i długi okres zwrotu inwestycji nie przewiduje się montażu pompy ciepła typu powietrze – woda oraz z gruntowym wymiennikiem ciepła.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bookmarkStart w:id="2" w:name="__RefHeading___Toc89463256"/>
      <w:bookmarkEnd w:id="2"/>
      <w:r>
        <w:rPr>
          <w:rFonts w:ascii="Arial" w:hAnsi="Arial"/>
          <w:b/>
          <w:bCs/>
          <w:color w:val="000000"/>
        </w:rPr>
        <w:t>9.2 Analiza możliwości racjonalnego wykorzystania systemów alternatywnych zaopatrzenia w energię i ciepło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Dostępne nośniki energii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Dla przedmiotowej inwestycji dostępnymi nośnikami energii są: energia elektryczna, olej opałowy, paliwa stałe, energia słoneczna, sieć gazowa, energia zgromadzona w gruncie i powietrzu. Budynek wyposażony </w:t>
      </w:r>
      <w:r>
        <w:rPr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jest w kocioł gazowy.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Wybór dwóch systemów zaopatrzenia w energię do analizy porównawczej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Do analizy porównawczej wybrano:</w:t>
      </w:r>
    </w:p>
    <w:p>
      <w:pPr>
        <w:pStyle w:val="Normalny"/>
        <w:numPr>
          <w:ilvl w:val="0"/>
          <w:numId w:val="3"/>
        </w:numPr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system konwencjonalny oparty o zasilnie z sieci gazowej jako podstawowego nośnika energii;</w:t>
      </w:r>
    </w:p>
    <w:p>
      <w:pPr>
        <w:pStyle w:val="Normalny"/>
        <w:numPr>
          <w:ilvl w:val="0"/>
          <w:numId w:val="3"/>
        </w:numPr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system alternatywny oparty o wykorzystanie pompy ciepła do grzania i przygotowania c.w.u. jako podstawowego nośnika energii.</w:t>
      </w:r>
    </w:p>
    <w:p>
      <w:pPr>
        <w:pStyle w:val="Normalny"/>
        <w:suppressAutoHyphens w:val="true"/>
        <w:spacing w:lineRule="auto" w:line="27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rPr>
          <w:color w:val="000000"/>
        </w:rPr>
      </w:pPr>
      <w:r>
        <w:rPr>
          <w:rFonts w:ascii="Arial" w:hAnsi="Arial"/>
          <w:b/>
          <w:bCs/>
          <w:color w:val="000000"/>
        </w:rPr>
        <w:t>Obliczenia optymalizacyjno- porównawcze dla wybranych systemów zaopatrzenia w energię.</w:t>
      </w:r>
    </w:p>
    <w:p>
      <w:pPr>
        <w:pStyle w:val="Normalny"/>
        <w:suppressAutoHyphens w:val="true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tbl>
      <w:tblPr>
        <w:tblW w:w="8824" w:type="dxa"/>
        <w:jc w:val="center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57"/>
        <w:gridCol w:w="2535"/>
        <w:gridCol w:w="3254"/>
        <w:gridCol w:w="2577"/>
      </w:tblGrid>
      <w:tr>
        <w:trPr>
          <w:trHeight w:val="600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L.p.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Parametr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System konwencjonalny</w:t>
            </w:r>
          </w:p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Kotłownia gazowa, koszt przyłączenia, instalacja gazowa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System alternatywny</w:t>
            </w:r>
          </w:p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Pompa ciepła</w:t>
            </w:r>
          </w:p>
        </w:tc>
      </w:tr>
      <w:tr>
        <w:trPr>
          <w:trHeight w:val="600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3.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Koszt inwestycyjny dla źródeł ciepła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color w:val="000000"/>
              </w:rPr>
            </w:pPr>
            <w:r>
              <w:rPr>
                <w:rFonts w:eastAsia="NSimSun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4"/>
                <w:sz w:val="24"/>
                <w:szCs w:val="24"/>
                <w:u w:val="none"/>
                <w:vertAlign w:val="baseline"/>
                <w:em w:val="none"/>
                <w:lang w:val="pl-PL" w:eastAsia="zh-CN" w:bidi="hi-IN"/>
              </w:rPr>
              <w:t>35</w:t>
            </w:r>
            <w:r>
              <w:rPr>
                <w:rFonts w:ascii="Arial" w:hAnsi="Arial"/>
                <w:color w:val="000000"/>
              </w:rPr>
              <w:t xml:space="preserve"> 000 zł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color w:val="000000"/>
              </w:rPr>
            </w:pPr>
            <w:r>
              <w:rPr>
                <w:rFonts w:eastAsia="NSimSun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4"/>
                <w:sz w:val="24"/>
                <w:szCs w:val="24"/>
                <w:u w:val="none"/>
                <w:vertAlign w:val="baseline"/>
                <w:em w:val="none"/>
                <w:lang w:val="pl-PL" w:eastAsia="zh-CN" w:bidi="hi-IN"/>
              </w:rPr>
              <w:t>85</w:t>
            </w:r>
            <w:r>
              <w:rPr>
                <w:rFonts w:ascii="Arial" w:hAnsi="Arial"/>
                <w:color w:val="000000"/>
              </w:rPr>
              <w:t xml:space="preserve"> 000 zł</w:t>
            </w:r>
          </w:p>
        </w:tc>
      </w:tr>
      <w:tr>
        <w:trPr>
          <w:trHeight w:val="600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4.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Koszt ogrzewania i c.w.u.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color w:val="000000"/>
              </w:rPr>
            </w:pPr>
            <w:r>
              <w:rPr>
                <w:rFonts w:eastAsia="NSimSun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4"/>
                <w:sz w:val="24"/>
                <w:szCs w:val="24"/>
                <w:u w:val="none"/>
                <w:vertAlign w:val="baseline"/>
                <w:em w:val="none"/>
                <w:lang w:val="pl-PL" w:eastAsia="zh-CN" w:bidi="hi-IN"/>
              </w:rPr>
              <w:t>31</w:t>
            </w:r>
            <w:r>
              <w:rPr>
                <w:rFonts w:ascii="Arial" w:hAnsi="Arial"/>
                <w:color w:val="000000"/>
              </w:rPr>
              <w:t>82 zł/rok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color w:val="000000"/>
              </w:rPr>
            </w:pPr>
            <w:r>
              <w:rPr>
                <w:rFonts w:ascii="Arial" w:hAnsi="Arial"/>
                <w:color w:val="000000"/>
              </w:rPr>
              <w:t>2</w:t>
            </w:r>
            <w:r>
              <w:rPr>
                <w:rFonts w:eastAsia="NSimSun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4"/>
                <w:sz w:val="24"/>
                <w:szCs w:val="24"/>
                <w:u w:val="none"/>
                <w:vertAlign w:val="baseline"/>
                <w:em w:val="none"/>
                <w:lang w:val="pl-PL" w:eastAsia="zh-CN" w:bidi="hi-IN"/>
              </w:rPr>
              <w:t>705</w:t>
            </w:r>
            <w:r>
              <w:rPr>
                <w:rFonts w:ascii="Arial" w:hAnsi="Arial"/>
                <w:color w:val="000000"/>
              </w:rPr>
              <w:t xml:space="preserve"> zł/rok</w:t>
            </w:r>
          </w:p>
        </w:tc>
      </w:tr>
      <w:tr>
        <w:trPr>
          <w:trHeight w:val="600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5.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Różnica w koszcie inwestycyjnym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----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color w:val="000000"/>
              </w:rPr>
            </w:pPr>
            <w:r>
              <w:rPr>
                <w:rFonts w:eastAsia="NSimSun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4"/>
                <w:sz w:val="24"/>
                <w:szCs w:val="24"/>
                <w:u w:val="none"/>
                <w:vertAlign w:val="baseline"/>
                <w:em w:val="none"/>
                <w:lang w:val="pl-PL" w:eastAsia="zh-CN" w:bidi="hi-IN"/>
              </w:rPr>
              <w:t>50</w:t>
            </w:r>
            <w:r>
              <w:rPr>
                <w:rFonts w:ascii="Arial" w:hAnsi="Arial"/>
                <w:color w:val="000000"/>
              </w:rPr>
              <w:t xml:space="preserve"> 000 zł</w:t>
            </w:r>
          </w:p>
        </w:tc>
      </w:tr>
      <w:tr>
        <w:trPr>
          <w:trHeight w:val="600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6.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Roczna oszczędność na eksploatacji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----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suppressAutoHyphens w:val="true"/>
              <w:rPr>
                <w:color w:val="000000"/>
              </w:rPr>
            </w:pPr>
            <w:r>
              <w:rPr>
                <w:rFonts w:eastAsia="NSimSun" w:cs="Arial Unicode MS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4"/>
                <w:sz w:val="24"/>
                <w:szCs w:val="24"/>
                <w:u w:val="none"/>
                <w:vertAlign w:val="baseline"/>
                <w:em w:val="none"/>
                <w:lang w:val="pl-PL" w:eastAsia="zh-CN" w:bidi="hi-IN"/>
              </w:rPr>
              <w:t>5724</w:t>
            </w:r>
            <w:r>
              <w:rPr>
                <w:rFonts w:ascii="Arial" w:hAnsi="Arial"/>
                <w:color w:val="000000"/>
              </w:rPr>
              <w:t xml:space="preserve"> zł/rok</w:t>
            </w:r>
          </w:p>
        </w:tc>
      </w:tr>
    </w:tbl>
    <w:p>
      <w:pPr>
        <w:pStyle w:val="Normalny"/>
        <w:suppressAutoHyphens w:val="true"/>
        <w:ind w:left="2880" w:right="0" w:hanging="0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ny"/>
        <w:suppressAutoHyphens w:val="true"/>
        <w:ind w:right="0" w:hanging="0"/>
        <w:jc w:val="left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ind w:right="0" w:hanging="0"/>
        <w:jc w:val="left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ind w:right="0" w:hanging="0"/>
        <w:jc w:val="left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ind w:right="0" w:hanging="0"/>
        <w:jc w:val="left"/>
        <w:rPr>
          <w:color w:val="000000"/>
        </w:rPr>
      </w:pPr>
      <w:r>
        <w:rPr>
          <w:rFonts w:ascii="Arial" w:hAnsi="Arial"/>
          <w:b/>
          <w:bCs/>
          <w:color w:val="000000"/>
        </w:rPr>
        <w:t xml:space="preserve">Wyniki analizy porównawczej 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Przeprowadzone obliczenia optymalizacyjno - porównawcze dla wybranych systemów zaopatrzenia w energię i ciepło wykazały niewielką różnicę w koszcie inwestycyjnym. Wybrano system oparty o </w:t>
      </w:r>
      <w:r>
        <w:rPr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kocioł gazowy.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b/>
          <w:bCs/>
          <w:color w:val="000000"/>
        </w:rPr>
        <w:t>Wybór systemu zaopatrzenia w energię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 xml:space="preserve">Wybrano system </w:t>
      </w:r>
      <w:r>
        <w:rPr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konwencjonalny.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b w:val="false"/>
          <w:b w:val="false"/>
          <w:bCs w:val="false"/>
          <w:color w:val="000000"/>
        </w:rPr>
      </w:pPr>
      <w:r>
        <w:rPr>
          <w:rFonts w:ascii="Arial" w:hAnsi="Arial"/>
          <w:b w:val="false"/>
          <w:bCs w:val="false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 w:val="false"/>
          <w:bCs w:val="false"/>
          <w:color w:val="000000"/>
        </w:rPr>
        <w:t>Uwaga:</w:t>
      </w:r>
    </w:p>
    <w:p>
      <w:pPr>
        <w:pStyle w:val="Normalny"/>
        <w:suppressAutoHyphens w:val="true"/>
        <w:spacing w:lineRule="auto" w:line="276"/>
        <w:jc w:val="both"/>
        <w:rPr>
          <w:rStyle w:val="Domylnaczcionkaakapitu"/>
          <w:rFonts w:ascii="Arial" w:hAnsi="Arial" w:eastAsia="NSimSun" w:cs="Lucida Sans"/>
          <w:b w:val="false"/>
          <w:b w:val="false"/>
          <w:bCs w:val="false"/>
          <w:color w:val="00A933"/>
          <w:kern w:val="2"/>
          <w:sz w:val="24"/>
          <w:szCs w:val="24"/>
          <w:lang w:val="pl-PL" w:eastAsia="zh-CN" w:bidi="hi-IN"/>
        </w:rPr>
      </w:pPr>
      <w:r>
        <w:rPr>
          <w:rStyle w:val="Domylnaczcionkaakapitu"/>
          <w:rFonts w:ascii="Arial" w:hAnsi="Arial"/>
          <w:b w:val="false"/>
          <w:bCs w:val="false"/>
          <w:color w:val="000000"/>
        </w:rPr>
        <w:t xml:space="preserve">Po przeprowadzonej analizie preferencji przyszłych użytkowników stwierdza się że nie ma możliwości instalacji automatycznej regulacji temperatury 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w poszczególnych pomieszczeniach.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1</w:t>
      </w:r>
      <w:r>
        <w:rPr>
          <w:rStyle w:val="Domylnaczcionkaakapitu"/>
          <w:rFonts w:ascii="Arial" w:hAnsi="Arial"/>
          <w:b/>
          <w:bCs/>
          <w:color w:val="000000"/>
          <w:sz w:val="24"/>
        </w:rPr>
        <w:t>0</w:t>
      </w:r>
      <w:r>
        <w:rPr>
          <w:rStyle w:val="Domylnaczcionkaakapitu"/>
          <w:rFonts w:ascii="Arial" w:hAnsi="Arial"/>
          <w:b/>
          <w:bCs/>
          <w:color w:val="000000"/>
        </w:rPr>
        <w:t>. Charakterystyka ekologiczna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 xml:space="preserve">.1. OPIS OGÓLNY – Przedmiotem opracowania jest </w:t>
      </w:r>
      <w:r>
        <w:rPr>
          <w:rStyle w:val="Domylnaczcionkaakapitu"/>
          <w:rFonts w:ascii="Arial" w:hAnsi="Arial"/>
          <w:b w:val="false"/>
          <w:bCs w:val="false"/>
          <w:color w:val="000000"/>
          <w:sz w:val="24"/>
          <w:szCs w:val="24"/>
        </w:rPr>
        <w:t xml:space="preserve">projekt </w:t>
      </w:r>
      <w:r>
        <w:rPr>
          <w:rStyle w:val="Domylnaczcionkaakapitu"/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przebudowy oraz rozbudowy budynku zaplecza stadionu lekkoatletycznego.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 xml:space="preserve">.2. ZAPOTRZEBOWANIE WODY – </w:t>
      </w:r>
      <w:r>
        <w:rPr>
          <w:rStyle w:val="Domylnaczcionkaakapitu"/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Przedmiotowy budynek posiada istniejące przyłącze wodociągowe.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 xml:space="preserve">.3. ODPROWADZENIE ŚCIEKÓW – </w:t>
      </w:r>
      <w:r>
        <w:rPr>
          <w:rStyle w:val="Domylnaczcionkaakapitu"/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Przedmiotowy budynek posiada istniejące przyłącze kanalizacji sanitarnej.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 xml:space="preserve">.4. WODY OPADOWE – Wody opadowe z dachu, wody roztopowe i wody z terenów utwardzonych będą odprowadzone </w:t>
      </w:r>
      <w:r>
        <w:rPr>
          <w:rStyle w:val="Domylnaczcionkaakapitu"/>
          <w:rFonts w:eastAsia="NSimSun" w:cs="Lucida Sans" w:ascii="Arial" w:hAnsi="Arial"/>
          <w:color w:val="000000"/>
          <w:kern w:val="2"/>
          <w:sz w:val="24"/>
          <w:szCs w:val="24"/>
          <w:lang w:val="pl-PL" w:eastAsia="zh-CN" w:bidi="hi-IN"/>
        </w:rPr>
        <w:t>do miejskiej kanalizacji deszczowej</w:t>
      </w:r>
      <w:r>
        <w:rPr>
          <w:rStyle w:val="Domylnaczcionkaakapitu"/>
          <w:rFonts w:ascii="Arial" w:hAnsi="Arial"/>
          <w:color w:val="000000"/>
        </w:rPr>
        <w:t>. Zagospodarowanie wody opadowej odbywać się będzie w obrębie działki w sposób uniemożliwiający zalewanie działek sąsiednich. Projekt nie przewiduje zmiany istniejącego naturalnego spływu wód opadowych.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>.5. ODPADY KOMUNALNE – Na terenie działki znajduje się istniejące miejsce do tymczasowego gromadzenia odpadów komunalnych. Odpady komunalne wynikające z eksploatacji obiektu będą usuwane na bieżąco, na podstawie indywidualnej umowy inwestora;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 xml:space="preserve">Zaleca się wstępną segregację odpadów do powtórnego przetworzenia. 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>.6. OGRZEWANIE BUDYNKÓW – Źródł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o</w:t>
      </w:r>
      <w:r>
        <w:rPr>
          <w:rStyle w:val="Domylnaczcionkaakapitu"/>
          <w:rFonts w:ascii="Arial" w:hAnsi="Arial"/>
          <w:color w:val="000000"/>
        </w:rPr>
        <w:t xml:space="preserve"> ciepła – 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kocioł gazowy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 xml:space="preserve">.7. ENERGIA ELEKTRYCZNA – </w:t>
      </w:r>
      <w:r>
        <w:rPr>
          <w:rStyle w:val="Domylnaczcionkaakapitu"/>
          <w:rFonts w:ascii="Arial" w:hAnsi="Arial"/>
          <w:color w:val="000000"/>
          <w:sz w:val="24"/>
        </w:rPr>
        <w:t>B</w:t>
      </w:r>
      <w:r>
        <w:rPr>
          <w:rStyle w:val="Domylnaczcionkaakapitu"/>
          <w:rFonts w:ascii="Arial" w:hAnsi="Arial"/>
          <w:color w:val="000000"/>
        </w:rPr>
        <w:t xml:space="preserve">udynek zasilany z </w:t>
      </w:r>
      <w:r>
        <w:rPr>
          <w:rStyle w:val="Domylnaczcionkaakapitu"/>
          <w:rFonts w:eastAsia="NSimSun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istniejącego</w:t>
      </w:r>
      <w:r>
        <w:rPr>
          <w:rStyle w:val="Domylnaczcionkaakapitu"/>
          <w:rFonts w:ascii="Arial" w:hAnsi="Arial"/>
          <w:color w:val="000000"/>
        </w:rPr>
        <w:t xml:space="preserve"> przyłącza zlokalizowanego na przedmiotowej działce.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>.8. HAŁAS – Inwestycja w żaden sposób nie wpłynie na pogorszenie klimatu akustycznego. Charakter obiektu nie rodzi uciążliwych źródeł hałasu, a zatem oddziaływanie akustyczne będzie się mieściło w normie i na terenie działki objętej opracowaniem.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10.9. CHARAKTERYSTYKA PRZEGRÓD BUDOWLANYCH –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  <w:sz w:val="24"/>
          <w:szCs w:val="24"/>
          <w:lang w:val="pl-PL"/>
        </w:rPr>
        <w:t>Wartości obliczeniowe W/m</w:t>
      </w:r>
      <w:r>
        <w:rPr>
          <w:rStyle w:val="Domylnaczcionkaakapitu"/>
          <w:rFonts w:ascii="Arial" w:hAnsi="Arial"/>
          <w:color w:val="000000"/>
          <w:sz w:val="24"/>
          <w:szCs w:val="24"/>
          <w:vertAlign w:val="superscript"/>
          <w:lang w:val="pl-PL"/>
        </w:rPr>
        <w:t>2</w:t>
      </w:r>
      <w:r>
        <w:rPr>
          <w:rStyle w:val="Domylnaczcionkaakapitu"/>
          <w:rFonts w:ascii="Arial" w:hAnsi="Arial"/>
          <w:color w:val="000000"/>
          <w:sz w:val="24"/>
          <w:szCs w:val="24"/>
          <w:lang w:val="pl-PL"/>
        </w:rPr>
        <w:t>K, są następujące :</w:t>
      </w:r>
    </w:p>
    <w:p>
      <w:pPr>
        <w:pStyle w:val="Normal"/>
        <w:suppressAutoHyphens w:val="true"/>
        <w:spacing w:lineRule="auto" w:line="360"/>
        <w:jc w:val="both"/>
        <w:rPr>
          <w:color w:val="000000"/>
        </w:rPr>
      </w:pPr>
      <w:r>
        <w:rPr>
          <w:rFonts w:ascii="Arial" w:hAnsi="Arial"/>
          <w:color w:val="000000"/>
          <w:sz w:val="24"/>
          <w:szCs w:val="24"/>
          <w:lang w:val="pl-PL"/>
        </w:rPr>
        <w:t>Ściany zewnętrzne nadziemia U= 0,175&lt; U</w:t>
      </w:r>
      <w:r>
        <w:rPr>
          <w:rFonts w:ascii="Arial" w:hAnsi="Arial"/>
          <w:color w:val="000000"/>
          <w:sz w:val="24"/>
          <w:szCs w:val="24"/>
          <w:vertAlign w:val="subscript"/>
          <w:lang w:val="pl-PL"/>
        </w:rPr>
        <w:t>MAX</w:t>
      </w:r>
    </w:p>
    <w:p>
      <w:pPr>
        <w:pStyle w:val="Normal"/>
        <w:suppressAutoHyphens w:val="true"/>
        <w:spacing w:lineRule="auto" w:line="360"/>
        <w:jc w:val="both"/>
        <w:rPr>
          <w:color w:val="000000"/>
        </w:rPr>
      </w:pPr>
      <w:r>
        <w:rPr>
          <w:rFonts w:ascii="Arial" w:hAnsi="Arial"/>
          <w:color w:val="000000"/>
          <w:sz w:val="24"/>
          <w:szCs w:val="24"/>
          <w:lang w:val="pl-PL"/>
        </w:rPr>
        <w:t>Dach U= 0,13 &lt; U</w:t>
      </w:r>
      <w:r>
        <w:rPr>
          <w:rFonts w:ascii="Arial" w:hAnsi="Arial"/>
          <w:color w:val="000000"/>
          <w:sz w:val="24"/>
          <w:szCs w:val="24"/>
          <w:vertAlign w:val="subscript"/>
          <w:lang w:val="pl-PL"/>
        </w:rPr>
        <w:t>MAX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  <w:sz w:val="24"/>
          <w:szCs w:val="24"/>
          <w:lang w:val="pl-PL"/>
        </w:rPr>
        <w:t>Stolarka okienna U= 0,9 &lt; U</w:t>
      </w:r>
      <w:r>
        <w:rPr>
          <w:rStyle w:val="Domylnaczcionkaakapitu"/>
          <w:rFonts w:ascii="Arial" w:hAnsi="Arial"/>
          <w:color w:val="000000"/>
          <w:sz w:val="24"/>
          <w:szCs w:val="24"/>
          <w:vertAlign w:val="subscript"/>
          <w:lang w:val="pl-PL"/>
        </w:rPr>
        <w:t>MAX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rFonts w:ascii="Arial" w:hAnsi="Arial"/>
          <w:color w:val="000000"/>
        </w:rPr>
        <w:t>1</w:t>
      </w:r>
      <w:r>
        <w:rPr>
          <w:rFonts w:ascii="Arial" w:hAnsi="Arial"/>
          <w:color w:val="000000"/>
          <w:sz w:val="24"/>
        </w:rPr>
        <w:t>0</w:t>
      </w:r>
      <w:r>
        <w:rPr>
          <w:rFonts w:ascii="Arial" w:hAnsi="Arial"/>
          <w:color w:val="000000"/>
        </w:rPr>
        <w:t>.10. SZATA ROŚLINNA – teren porośnięty trawami, krzewami oraz zielenią wysoką, na przedmiotowym terenie nie występują rośliny chronione.</w:t>
      </w:r>
    </w:p>
    <w:p>
      <w:pPr>
        <w:pStyle w:val="Normalny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>.11. OCENA EKOLOGICZNA - Realizowane przedsięwzięcie nie będzie miało negatywnego wpływu na wody powierzchniowe podziemne, jak również nie spowoduje przekroczeń dopuszczalnych norm w zakresie emisji zanieczyszczeń do powietrza atmosferycznego oraz hałasu. Oddziaływanie na środowisko będzie miało charakter lokalny o ograniczonym - do pobliskiego otoczenia zasięgu. Działalność obiektu nie grozi zanieczyszczeniem bądź naruszeniem powierzchni ziemi i gleby. Nie ma zagrożenia dla świata roślinnego. Nie notuje się zagrożeń ani uciążliwości w zakresie gospodarki odpadami dzięki właściwym ustaleniom w ich zagospodarowaniu. Oddziaływanie na środowisko podczas realizacji inwestycji ma charakter wyłącznie przejściowy i odwracalny, natomiast czas tych działań kończy się wraz z zakończeniem robót budowlanych. Wymagania ochrony środowiska na tym etapie należy osiągnąć poprzez: odpowiednią organizację robót dobór materiałów, sprzętu i środków transportowych spełniających wymagania ochrony środowiska, dopuszczające je do produkcji, obrotu o najmniejszym oddziaływaniu na środowisko stosowanie materiałów lub prefabrykatów posiadających atesty i certyfikaty. Prace budowlane powinny być prowadzone zgodnie z zatwierdzonym projektem budowlanym, sprawnym sprzętem i pod nadzorem budowlanym.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W zakresie stosowanej technologii przewidziano powszechnie znane i sprawdzone rozwiązania nie stanowiące uciążliwości dla środowiska i ludzi.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Ze względu na brak szkodliwego oddziaływania na środowisko - tereny (działki) otaczające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dokumentowaną inwestycję nie odnotowują uciążliwości, szkodliwości ani wprowadzenia ograniczeń w użytkowaniu, zagospodarowaniu itp.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1</w:t>
      </w:r>
      <w:r>
        <w:rPr>
          <w:rStyle w:val="Domylnaczcionkaakapitu"/>
          <w:rFonts w:ascii="Arial" w:hAnsi="Arial"/>
          <w:color w:val="000000"/>
          <w:sz w:val="24"/>
        </w:rPr>
        <w:t>0</w:t>
      </w:r>
      <w:r>
        <w:rPr>
          <w:rStyle w:val="Domylnaczcionkaakapitu"/>
          <w:rFonts w:ascii="Arial" w:hAnsi="Arial"/>
          <w:color w:val="000000"/>
        </w:rPr>
        <w:t>.11. POTENCJALNE AWARIE MOGĄCE WYSTĄPIĆ W TRAKCIE REALIZACJI INWESTYCJI - Z uwagi na zakres robót inwestycyjnych nie przewiduje się poważniejszych awarii.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b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1</w:t>
      </w:r>
      <w:r>
        <w:rPr>
          <w:rStyle w:val="Domylnaczcionkaakapitu"/>
          <w:rFonts w:ascii="Arial" w:hAnsi="Arial"/>
          <w:b/>
          <w:bCs/>
          <w:color w:val="000000"/>
          <w:sz w:val="24"/>
        </w:rPr>
        <w:t>1</w:t>
      </w:r>
      <w:r>
        <w:rPr>
          <w:rStyle w:val="Domylnaczcionkaakapitu"/>
          <w:rFonts w:ascii="Arial" w:hAnsi="Arial"/>
          <w:b/>
          <w:bCs/>
          <w:color w:val="000000"/>
        </w:rPr>
        <w:t>. Informacje o zasadniczych elementach wyposażenia budowlano-instalacyjnego, zapewniających użytkowanie obiektu budowlanego zgodnie z przeznaczeniem;</w:t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color w:val="000000"/>
        </w:rPr>
        <w:t>Rozwiązania konstrukcyjno-materiałowe wewnętrznych i zewnętrznych przegród budowlanych.</w:t>
      </w:r>
    </w:p>
    <w:p>
      <w:pPr>
        <w:pStyle w:val="Normalny"/>
        <w:suppressAutoHyphens w:val="true"/>
        <w:spacing w:lineRule="auto" w:line="27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276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</w:rPr>
        <w:t>1</w:t>
      </w:r>
      <w:r>
        <w:rPr>
          <w:rStyle w:val="Domylnaczcionkaakapitu"/>
          <w:rFonts w:ascii="Arial" w:hAnsi="Arial"/>
          <w:b/>
          <w:bCs/>
          <w:color w:val="000000"/>
          <w:sz w:val="24"/>
        </w:rPr>
        <w:t>1</w:t>
      </w:r>
      <w:r>
        <w:rPr>
          <w:rStyle w:val="Domylnaczcionkaakapitu"/>
          <w:rFonts w:ascii="Arial" w:hAnsi="Arial"/>
          <w:b/>
          <w:bCs/>
          <w:color w:val="000000"/>
        </w:rPr>
        <w:t>.1</w:t>
        <w:tab/>
        <w:t>ROZWIĄZANIA KONSTRUKCYJNO-MATERIAŁOWE: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Konstrukcja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murowana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Fundamenty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ławy fundamentowe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, ściany fundamentowe z bloczków betonowych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Ściany zewnętrzne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bloczki wapienno - piaskowe (silikatowe) gr. 24 cm murowane na zaprawie systemowej z dociepleniem w postaci 20 cm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wełny mineralnej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, z wykończeniem warstwą cienkowarstwowego tynku – kolorystyka podana na rysunkach elewacji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Uwaga: szczegółowy opis rozwiązań ścian podano na rysunkach.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Ściany wewnętrzne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Działowe: bloczki wapienno - piaskowe gr. 12 cm i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15 cm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 xml:space="preserve">–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Konstrukcyjne: bloczki wapienno - piaskowe gr. 24 cm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Strop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 xml:space="preserve">–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Żelbetowy - wg proj. technicznego części konstrukcyjnej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Arial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pPr>
      <w:r>
        <w:rPr>
          <w:rFonts w:eastAsia="NSimSun" w:cs="Arial" w:ascii="Arial" w:hAnsi="Arial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Schody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 xml:space="preserve">–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Żelbetowe - wg proj. technicznego części konstrukcyjnej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Nadproża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Żelbetowe - wg proj. technicznego części konstrukcyjnej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Dach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Arial" w:ascii="Arial" w:hAnsi="Arial"/>
          <w:color w:val="000000"/>
          <w:kern w:val="0"/>
          <w:sz w:val="24"/>
          <w:szCs w:val="24"/>
          <w:lang w:val="pl-PL" w:eastAsia="zh-CN" w:bidi="ar-SA"/>
        </w:rPr>
        <w:t xml:space="preserve">–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jednospadowy o spadku 1,72</w:t>
      </w:r>
      <w:r>
        <w:rPr>
          <w:rFonts w:eastAsia="SimSun" w:cs="Lucida Sans" w:ascii="Arial" w:hAnsi="Arial"/>
          <w:b w:val="false"/>
          <w:bCs w:val="false"/>
          <w:i w:val="false"/>
          <w:iCs w:val="false"/>
          <w:color w:val="000000"/>
          <w:kern w:val="2"/>
          <w:position w:val="0"/>
          <w:sz w:val="24"/>
          <w:sz w:val="24"/>
          <w:szCs w:val="24"/>
          <w:vertAlign w:val="baseline"/>
          <w:lang w:val="pl-PL" w:eastAsia="zh-CN" w:bidi="hi-IN"/>
        </w:rPr>
        <w:t>º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– zgodnie z częścią rysunkową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konstrukcja: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żelbetowa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przekrycie: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membrana EPDM gr. min 1,2mm–</w:t>
      </w:r>
      <w:r>
        <w:rPr>
          <w:rFonts w:eastAsia="NSimSun" w:cs="Arial" w:ascii="Arial" w:hAnsi="Arial"/>
          <w:color w:val="000000"/>
          <w:kern w:val="0"/>
          <w:sz w:val="24"/>
          <w:szCs w:val="24"/>
          <w:lang w:val="pl-PL" w:eastAsia="zh-CN" w:bidi="ar-SA"/>
        </w:rPr>
        <w:t xml:space="preserve"> montaż systemowy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Kominy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brak – projektuje si</w:t>
      </w:r>
      <w:r>
        <w:rPr>
          <w:rFonts w:eastAsia="NSimSun" w:cs="Arial" w:ascii="Arial" w:hAnsi="Arial"/>
          <w:color w:val="000000"/>
          <w:kern w:val="0"/>
          <w:sz w:val="24"/>
          <w:szCs w:val="24"/>
          <w:lang w:val="pl-PL" w:eastAsia="zh-CN" w:bidi="ar-SA"/>
        </w:rPr>
        <w:t>ę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 wentylację mechaniczną z rekuperacją wg proj. technicznego części sanitarnej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- systemowe kominki wentylacyjne (kanalizacyjne) wg proj. technicznego części sanitarnej</w:t>
      </w:r>
    </w:p>
    <w:p>
      <w:pPr>
        <w:pStyle w:val="Normal"/>
        <w:suppressAutoHyphens w:val="true"/>
        <w:spacing w:lineRule="auto" w:line="276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Izolacje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Przeciwwilgociowa: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Izolację przeciwwilgociową należy każdorazowo przystosować do istniejących warunków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wilgotnościowych gruntu i poziomu wody gruntowej.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a) pozioma ścian fundamentowych: 2x folia polietylenowa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b) podłogi na gruncie: 2x folia polietylenowa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Należy zachować ciągłość izolacji poziomej oraz wyprowadzić ją po zewnętrznej stronie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ścian min. 30 cm nad poziom terenu;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c) pionowa ścian fundamentowych : dysperbit (dyspersyjna masa asfaltowo -kauczukowa)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Termiczna: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a) dach :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 xml:space="preserve">styropian z klinami spadkowymi </w:t>
      </w:r>
      <w:r>
        <w:rPr>
          <w:rFonts w:eastAsia="NSimSun" w:cs="Arial" w:ascii="Arial" w:hAnsi="Arial"/>
          <w:color w:val="000000"/>
          <w:kern w:val="0"/>
          <w:sz w:val="24"/>
          <w:szCs w:val="24"/>
          <w:lang w:val="pl-PL" w:eastAsia="zh-CN" w:bidi="ar-SA"/>
        </w:rPr>
        <w:t>gr. min 20 cm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b) ściany zewnętrzne :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wełna mineralna do izolacji termicznej w bezspoinowych systemach ociepleń gr. 20 cm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c) podłogi na gruncie : styropian EPS 200 036 gr. 17cm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d) ściany fundamentowe: polistyren ekstrudowany gr. 15 cm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>e) strop mi</w:t>
      </w:r>
      <w:r>
        <w:rPr>
          <w:rFonts w:eastAsia="NSimSun" w:cs="Arial" w:ascii="Arial" w:hAnsi="Arial"/>
          <w:b w:val="false"/>
          <w:bCs w:val="false"/>
          <w:color w:val="000000"/>
          <w:kern w:val="0"/>
          <w:sz w:val="24"/>
          <w:szCs w:val="24"/>
          <w:lang w:val="pl-PL" w:eastAsia="zh-CN" w:bidi="ar-SA"/>
        </w:rPr>
        <w:t>ę</w:t>
      </w: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>dzykondygnacyjny: styropian EPS 200 036 gr. 5 cm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rFonts w:ascii="Arial" w:hAnsi="Arial" w:cs="Arial"/>
          <w:b w:val="false"/>
          <w:b w:val="false"/>
          <w:bCs w:val="false"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/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 xml:space="preserve">Paroszczelna – </w:t>
      </w:r>
      <w:r>
        <w:rPr>
          <w:rStyle w:val="Domylnaczcionkaakapitu"/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>folia polietylenowa w warstwach dachów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Wykończenie wewnętrzne: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Podłogi i posadzki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eastAsia="NSimSun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 xml:space="preserve">W pomieszczeniach zastosować posadzki gresowe, antypoślizgowe układane na zaprawie klejowej. Cokoliki w kolorze posadzki. 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eastAsia="NSimSun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eastAsia="NSimSun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Podłogi w pomieszczeniach, w których występują kratki ściekowe należy wykonać ze spadkiem w kierunku tych kratek.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eastAsia="NSimSun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eastAsia="NSimSun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Wewnętrzne ciągi czyszczące zaprojektowano z mat w ramie aluminiowej montowanej we wnęce: wycieraczki systemowe w aluminiowych profilach nośnych przy wejściach głównych.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Tynki i okładziny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 xml:space="preserve">Tynki wewnętrzne wykonać jako mokre cementowo - wapienne kat.III lub gipsowe na mokro nakładane mechanicznie. W pomieszczeniach sanitarnych i mokrych zaleca się gruntowanie powierzchniowo preparatami hydrofobizującymi. Na wszystkich rodzajach ścian wewnętrznych należy wykonać </w:t>
      </w:r>
      <w:r>
        <w:rPr>
          <w:rFonts w:eastAsia="NSimSun" w:cs="Arial" w:ascii="Arial" w:hAnsi="Arial"/>
          <w:b w:val="false"/>
          <w:bCs w:val="false"/>
          <w:color w:val="000000"/>
          <w:kern w:val="0"/>
          <w:sz w:val="24"/>
          <w:szCs w:val="24"/>
          <w:lang w:val="pl-PL" w:eastAsia="zh-CN" w:bidi="ar-SA"/>
        </w:rPr>
        <w:t>gładź</w:t>
      </w: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 xml:space="preserve"> gipsow</w:t>
      </w:r>
      <w:r>
        <w:rPr>
          <w:rFonts w:eastAsia="NSimSun" w:cs="Arial" w:ascii="Arial" w:hAnsi="Arial"/>
          <w:b w:val="false"/>
          <w:bCs w:val="false"/>
          <w:color w:val="000000"/>
          <w:kern w:val="0"/>
          <w:sz w:val="24"/>
          <w:szCs w:val="24"/>
          <w:lang w:val="pl-PL" w:eastAsia="zh-CN" w:bidi="ar-SA"/>
        </w:rPr>
        <w:t>ą</w:t>
      </w: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 xml:space="preserve"> </w:t>
      </w:r>
      <w:r>
        <w:rPr>
          <w:rFonts w:eastAsia="NSimSun" w:cs="Arial" w:ascii="Arial" w:hAnsi="Arial"/>
          <w:b w:val="false"/>
          <w:bCs w:val="false"/>
          <w:color w:val="000000"/>
          <w:kern w:val="0"/>
          <w:sz w:val="24"/>
          <w:szCs w:val="24"/>
          <w:lang w:val="pl-PL" w:eastAsia="zh-CN" w:bidi="ar-SA"/>
        </w:rPr>
        <w:t>(poza ścianami wykończonymi okładzinami ściennymi)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cs="Arial"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>Na ścianach, na których układana jest glazura, tynki wykonać w ten sposób, aby licowały się z glazurą w płaszczyźnie pionowej.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cs="Arial"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 xml:space="preserve">UWAGI: połączenia różnych rodzajów ścian i sufitów, styków z płytami gipsowo – kartonowymi, narożniki ścian, narożniki otworów okiennych, połączenia narażone na pękanie należy obrabiać listwami narożnikowymi, wtapianymi siatkami z włókien szklanych lub pasami flizeliny i gipsować z zastosowaniem szpachlówek elastycznych w celu uniknięcia powstawania spękań relaksacyjnych w pierwszym okresie użytkowania budynku. Wszystkie naroża ścian narażone na uszkodzenia wzmocnione profilami narożnymi podtynkowymi.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N</w:t>
      </w: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>a narożnikach ścian korytarzy zaleca się zastosowanie wtapianych w grubość tynku systemowych listew krawędziowych z PVC.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Sufity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>Sufity systemowe podwieszane, kasetonowe o wym. 60</w:t>
      </w:r>
      <w:r>
        <w:rPr>
          <w:rFonts w:eastAsia="NSimSun" w:cs="Arial" w:ascii="Arial" w:hAnsi="Arial"/>
          <w:b w:val="false"/>
          <w:bCs w:val="false"/>
          <w:color w:val="000000"/>
          <w:kern w:val="0"/>
          <w:sz w:val="24"/>
          <w:szCs w:val="24"/>
          <w:lang w:val="pl-PL" w:eastAsia="zh-CN" w:bidi="ar-SA"/>
        </w:rPr>
        <w:t>x</w:t>
      </w:r>
      <w:r>
        <w:rPr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>60cm, w kolorze białym – montaż wg dostawcy systemu.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Malowanie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Ściany wewnętrzne malowane farbami </w:t>
      </w:r>
      <w:r>
        <w:rPr>
          <w:rFonts w:eastAsia="NSimSun" w:cs="Arial" w:ascii="Arial" w:hAnsi="Arial"/>
          <w:color w:val="000000"/>
          <w:kern w:val="0"/>
          <w:sz w:val="24"/>
          <w:szCs w:val="24"/>
          <w:lang w:val="pl-PL" w:eastAsia="zh-CN" w:bidi="ar-SA"/>
        </w:rPr>
        <w:t>lateksowymi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 o właściwościach przepuszczalnych dla pary wodnej w kolorze wg preferencji użytkownika.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Stolarka wewnętrzna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Drzwi wewnętrzne </w:t>
      </w:r>
      <w:r>
        <w:rPr>
          <w:rFonts w:eastAsia="NSimSun" w:cs="Arial" w:ascii="Arial" w:hAnsi="Arial"/>
          <w:color w:val="000000"/>
          <w:kern w:val="0"/>
          <w:sz w:val="24"/>
          <w:szCs w:val="24"/>
          <w:lang w:val="pl-PL" w:eastAsia="zh-CN" w:bidi="ar-SA"/>
        </w:rPr>
        <w:t>wg zestawienia stolarki drzwiowej.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rFonts w:ascii="Arial" w:hAnsi="Arial" w:cs="Arial"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UWAGI: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- przed zamówieniem wymiary stolarki należy sprawdzić ze stanem faktycznym po wykonaniu prac budowlanych.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- przed zamówieniem okien i drzwi należy dokładnie sprawdzić ilości.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- wymiary otworów w murze zależne od producenta stolarki.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- opis skrzydła na rzutach 90/200 oznacza wymiary w świetle ościeżnicy (wymiary otworu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dopasować do wytycznych producenta stolarki). Skrzydła drzwi, stanowiących wyjście na drogę ewakuacyjną powinny powinny zostać wyposażone w samozamykacz i otwierać się o kąt 180 stopni tak, aby po ich całkowitym otwarciu nie zawężały wymaganej szerokości drogi ewakuacyjnej.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- we wszystkich rodzajach drzwi należy uzgodnić kąt otwarcia oraz konieczność zastosowania odbojników ściennych lub posadzkowych.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- przed murowaniem należy wybrać konkretnego producenta, wg którego należy przyjąć wielkość otworów w murze.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Parapety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  <w:t>z konglomeratu marmurowego w kolorze ciemno-szarym.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Wykończenie zewnętrzne: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Stolarka zewnętrzna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Okna o współczynniku przenikania ciepła k=0,9, w/m</w:t>
      </w:r>
      <w:r>
        <w:rPr>
          <w:rFonts w:cs="Arial" w:ascii="Arial" w:hAnsi="Arial"/>
          <w:color w:val="000000"/>
          <w:kern w:val="0"/>
          <w:sz w:val="24"/>
          <w:szCs w:val="24"/>
          <w:vertAlign w:val="superscript"/>
          <w:lang w:bidi="ar-SA"/>
        </w:rPr>
        <w:t>2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k.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Stolarka okienna PCV. Drzwi zewnętrzne aluminiowe, wejściowe w kolorze stolarki okiennej z przeszkleniem (k=0,9w/m</w:t>
      </w:r>
      <w:r>
        <w:rPr>
          <w:rFonts w:cs="Arial" w:ascii="Arial" w:hAnsi="Arial"/>
          <w:color w:val="000000"/>
          <w:kern w:val="0"/>
          <w:sz w:val="24"/>
          <w:szCs w:val="24"/>
          <w:vertAlign w:val="superscript"/>
          <w:lang w:bidi="ar-SA"/>
        </w:rPr>
        <w:t>2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k).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Parapety zewnętrzne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Parapety z blachy stalowej powlekanej grubości 0,50mm.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Tynki i okładziny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Tynki elewacyjne cienkowarstwowe silikonowe w systemie ociepleń;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 xml:space="preserve">– </w:t>
      </w:r>
      <w:r>
        <w:rPr>
          <w:rFonts w:eastAsia="NSimSu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ar-SA"/>
        </w:rPr>
        <w:t>Obróbki dachu obejmujące opierzenia ścian attykowych z blachy stalowej powlekanej grubości 0,50mm.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Rynny i rury spustowe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 xml:space="preserve">– </w:t>
      </w: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Z blachy stalowej powlekanej w kolorze grafitowym. Zastosować kompletny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system wraz z elementami mocowania, zgodnie z zaleceniami producenta.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rFonts w:ascii="Arial" w:hAnsi="Arial" w:cs="Arial"/>
          <w:b/>
          <w:b/>
          <w:bCs/>
          <w:color w:val="000000"/>
          <w:kern w:val="0"/>
          <w:sz w:val="24"/>
          <w:szCs w:val="24"/>
          <w:lang w:bidi="ar-SA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kern w:val="0"/>
          <w:sz w:val="24"/>
          <w:szCs w:val="24"/>
          <w:lang w:bidi="ar-SA"/>
        </w:rPr>
        <w:t>Uwaga: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Zmiana podziałów i rodzaju okładzin elewacji nie stanowi zmiany projektu.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W zależności od przyjętego przez Inwestora - systemu okładzin elewacji - wymiary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rFonts w:cs="Arial" w:ascii="Arial" w:hAnsi="Arial"/>
          <w:color w:val="000000"/>
          <w:kern w:val="0"/>
          <w:sz w:val="24"/>
          <w:szCs w:val="24"/>
          <w:lang w:bidi="ar-SA"/>
        </w:rPr>
        <w:t>zewnętrzne elewacji po wykończeniu mogą się wahać do 5cm w stosunku do wymiarów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/>
      </w:pPr>
      <w:r>
        <w:rPr>
          <w:rStyle w:val="Domylnaczcionkaakapitu"/>
          <w:rFonts w:cs="Arial" w:ascii="Arial" w:hAnsi="Arial"/>
          <w:b w:val="false"/>
          <w:bCs w:val="false"/>
          <w:color w:val="000000"/>
          <w:kern w:val="0"/>
          <w:sz w:val="24"/>
          <w:szCs w:val="24"/>
          <w:lang w:bidi="ar-SA"/>
        </w:rPr>
        <w:t>podanych na rysunkach.</w:t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283" w:leader="none"/>
        </w:tabs>
        <w:suppressAutoHyphens w:val="true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spacing w:lineRule="auto" w:line="360"/>
        <w:jc w:val="both"/>
        <w:rPr>
          <w:color w:val="000000"/>
        </w:rPr>
      </w:pPr>
      <w:r>
        <w:rPr>
          <w:rFonts w:eastAsia="NSimSun" w:cs="Lucida Sans" w:ascii="Arial" w:hAnsi="Arial"/>
          <w:b/>
          <w:bCs/>
          <w:color w:val="000000"/>
          <w:kern w:val="2"/>
          <w:sz w:val="24"/>
          <w:szCs w:val="24"/>
          <w:lang w:val="pl-PL" w:eastAsia="zh-CN" w:bidi="hi-IN"/>
        </w:rPr>
        <w:t>11.2. Rozwiązania instalacyjne: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W przedmiotowych obiektach przewiduje się wykonanie następujących instalacji wewnętrznych:</w:t>
      </w:r>
    </w:p>
    <w:p>
      <w:pPr>
        <w:pStyle w:val="Normal"/>
        <w:suppressAutoHyphens w:val="true"/>
        <w:spacing w:lineRule="auto" w:line="360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u w:val="single"/>
          <w:lang w:val="pl-PL" w:eastAsia="zh-CN" w:bidi="hi-IN"/>
        </w:rPr>
        <w:t>a) instalacje wod-kan</w:t>
      </w:r>
    </w:p>
    <w:p>
      <w:pPr>
        <w:pStyle w:val="Normal"/>
        <w:suppressAutoHyphens w:val="true"/>
        <w:spacing w:lineRule="auto" w:line="276"/>
        <w:ind w:left="0" w:right="-710" w:hanging="0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Przewody instalacji wody zimnej i ciepłej projektuje się z rur wielowarstwowych </w:t>
      </w:r>
    </w:p>
    <w:p>
      <w:pPr>
        <w:pStyle w:val="Normal"/>
        <w:suppressAutoHyphens w:val="true"/>
        <w:spacing w:lineRule="auto" w:line="276"/>
        <w:ind w:left="0" w:right="-710" w:hanging="0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PE-RT/Al/PE-RT. Przewody wody zimnej i ciepłej prowadzone w bruzdach oraz prowadzone w posadzce należy prowadzić w otulinach – izolacji termicznej.</w:t>
      </w:r>
    </w:p>
    <w:p>
      <w:pPr>
        <w:pStyle w:val="Normal"/>
        <w:suppressAutoHyphens w:val="true"/>
        <w:spacing w:lineRule="auto" w:line="276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Ścieki z przyborów sanitarnych odprowadzane będą projektowaną instalacją kanalizacyjną pionową i poziomą z rur i kształtek PVC do </w:t>
      </w:r>
      <w:r>
        <w:rPr>
          <w:rFonts w:eastAsia="NSimSun" w:cs="Lucida San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przydomowej, biologicznej oczyszczalni ścieków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. Piony kanalizacyjne wyprowadzić ponad dach i zakończyć rurami wywiewnymi.</w:t>
      </w:r>
    </w:p>
    <w:p>
      <w:pPr>
        <w:pStyle w:val="Normal"/>
        <w:suppressAutoHyphens w:val="true"/>
        <w:spacing w:lineRule="auto" w:line="276" w:before="57" w:after="57"/>
        <w:jc w:val="left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Szczegółowe rozwiązania projektowe instalacji wodno-kanalizacyjnej zgodnie z projektem technicznym.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b w:val="false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u w:val="single"/>
          <w:lang w:val="pl-PL" w:eastAsia="zh-CN" w:bidi="hi-IN"/>
        </w:rPr>
        <w:t>b) instalacje elektryczne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Projektowany budynek zostanie zasilony z istniejącego złącza kablowo-pomiarowego zlokalizowanego </w:t>
      </w:r>
      <w:r>
        <w:rPr>
          <w:rFonts w:eastAsia="NSimSun" w:cs="Lucida San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w budynku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. W obiekcie zostanie wykonana instalacja elektryczna składająca się z instalacji oświetleniowej, gniazd wtykowych, połączeń wyrównawczych oraz ochrony przeciwprzepięciowej. Szczegółowe rozwiązania projektowe instalacji elektrycznej zgodnie z projektem technicznym.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b w:val="false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u w:val="single"/>
          <w:lang w:val="pl-PL" w:eastAsia="zh-CN" w:bidi="hi-IN"/>
        </w:rPr>
        <w:t>c) instalacje C.O.</w:t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W budynku projektuje się niskotemperaturową instalację ogrzewania podłogowego zasilaną parametrem około 37ºC. System ogrzewania podłogowego wyposażony będzie w układ bezprzewodowej automatyki pokojowej. Szczegółowe rozwiązania projektowe instalacji C.O. zgodnie z projektem technicznym.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eastAsia="NSimSun" w:cs="Lucida Sans"/>
          <w:b w:val="false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u w:val="single"/>
          <w:lang w:val="pl-PL" w:eastAsia="zh-CN" w:bidi="hi-IN"/>
        </w:rPr>
        <w:t>d) źródło ciepła</w:t>
      </w:r>
    </w:p>
    <w:p>
      <w:pPr>
        <w:pStyle w:val="Normal"/>
        <w:suppressAutoHyphens w:val="true"/>
        <w:spacing w:lineRule="auto" w:line="276" w:before="57" w:after="57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Źródłem ciepła dla istniejącej oraz projektowanej instalacji </w:t>
      </w:r>
      <w:r>
        <w:rPr>
          <w:rFonts w:eastAsia="NSimSun" w:cs="Lucida San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hi-IN"/>
        </w:rPr>
        <w:t>ogrzewania C.O. w budynku</w:t>
      </w: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 będzie gazowy kocioł z zamkniętą komorą spalania. Kocioł zainstalować w miejscu zgodnie z rysunkami i wyposażyć w armaturę zgodnie ze schematem technologicznym. Szczegółowe rozwiązania projektowe zgodnie z projektem technicznym.</w:t>
      </w:r>
    </w:p>
    <w:p>
      <w:pPr>
        <w:pStyle w:val="Normal"/>
        <w:suppressAutoHyphens w:val="true"/>
        <w:spacing w:lineRule="auto" w:line="276" w:before="57" w:after="57"/>
        <w:jc w:val="both"/>
        <w:rPr>
          <w:rFonts w:ascii="Arial" w:hAnsi="Arial" w:eastAsia="NSimSun" w:cs="Lucida Sans"/>
          <w:b w:val="false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Normal"/>
        <w:suppressAutoHyphens w:val="true"/>
        <w:spacing w:lineRule="auto" w:line="276" w:before="57" w:after="57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u w:val="single"/>
          <w:lang w:val="pl-PL" w:eastAsia="zh-CN" w:bidi="hi-IN"/>
        </w:rPr>
        <w:t xml:space="preserve">e) wentylacja </w:t>
      </w:r>
    </w:p>
    <w:p>
      <w:pPr>
        <w:pStyle w:val="Normal"/>
        <w:suppressAutoHyphens w:val="true"/>
        <w:spacing w:lineRule="auto" w:line="276" w:before="57" w:after="57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Wentylacja pomieszczeń realizowana będzie poprzez centralę wentylacyjną nawiewno-wywiewną z przeciwprądowym wymiennikiem ciepła, filtracją powietrza oraz nagrzewnicą elektryczną wstępną. Centralę wentylacyjną należy zabudować na parterze zgodnie z rysunkiem. Powietrze świeże doprowadzane jest z czerpni ściennej. Wyrzut powietrza poprzez wyrzutnie ścienną. Przewody wentylacyjne nawiewne i wywiewne transportujące powietrze prowadzone są w przestrzeni sufitów podwieszanych lub w warstwach posadzki. Elementy nawiewne i wywiewne stanowią anemostaty nawiewne i wywiewne. Przed anemostatami należy zabudować skrzynki rozprężne powietrza. Na instalacji nawiewnej i wywiewnej należy zabudować tłumiki akustyczne. Za centralą należy zabudować nagrzewnicę wtórną elektryczną.</w:t>
      </w:r>
    </w:p>
    <w:p>
      <w:pPr>
        <w:pStyle w:val="Normal"/>
        <w:suppressAutoHyphens w:val="true"/>
        <w:spacing w:lineRule="auto" w:line="276" w:before="57" w:after="57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Przewody wentylacyjne należy izolować wełną mineralną o gr. 40mm. Przewody wentylacyjne prowadzone przez pomieszczenia ogrzewane nie wymagają izolacji termicznej. Należy zawsze zaizolować przewody prowadzące do czerpni i wyrzutni.</w:t>
      </w:r>
    </w:p>
    <w:p>
      <w:pPr>
        <w:pStyle w:val="Normal"/>
        <w:suppressAutoHyphens w:val="true"/>
        <w:spacing w:lineRule="auto" w:line="276" w:before="57" w:after="57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W pomieszczeniach, gdzie nie zostaną zainstalowane elementy nawiewne, dopływ powietrza będzie następował poprzez infiltrację z sąsiednich pomieszczeń. Dla prawidłowego działania instalacji w wybranej stolarce drzwiowej należy wykonać podcięcia lub kratki transferowe o powierzchni odpowiedniej dla ilości przepływającego powietrza.</w:t>
      </w:r>
    </w:p>
    <w:p>
      <w:pPr>
        <w:pStyle w:val="Normal"/>
        <w:suppressAutoHyphens w:val="true"/>
        <w:spacing w:lineRule="auto" w:line="276" w:before="57" w:after="57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Niezbędna ilość powietrza wentylacyjnego wynika z minimalnej ilości powietrza świeżego przypadającego na 1 osobę przebywającą w pomieszczeniu, minimalnych krotności wymian powietrza dla poszczególnych pomieszczeń zgodnie z przeznaczeniem oraz z normy PN-83/B-03430.</w:t>
      </w:r>
    </w:p>
    <w:p>
      <w:pPr>
        <w:pStyle w:val="Normal"/>
        <w:suppressAutoHyphens w:val="true"/>
        <w:spacing w:lineRule="auto" w:line="276" w:before="57" w:after="57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Nawiew powietrza do garażu będzie realizowany za pomocą kratek transferowych w dolnej części drzwi garażowych. Wyciąg powietrza będzie realizowany za pomocą wentylatora ściennego lub kanałowego o wydajności min. 1,5 wymiany na godzinę. Wentylator należy wyposażyć w czujnik umożliwiający jego automatyczne uruchamianie wraz z otwarciem drzwi garażowych oraz regulowane opóźnienie czasowe.</w:t>
      </w:r>
    </w:p>
    <w:p>
      <w:pPr>
        <w:pStyle w:val="Normal"/>
        <w:suppressAutoHyphens w:val="true"/>
        <w:spacing w:lineRule="auto" w:line="276" w:before="57" w:after="57"/>
        <w:jc w:val="both"/>
        <w:rPr>
          <w:color w:val="000000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Szczegółowe rozwiązania projektowe instalacji wentylacji zgodnie z projektem technicznym.</w:t>
      </w:r>
    </w:p>
    <w:p>
      <w:pPr>
        <w:pStyle w:val="Normal"/>
        <w:suppressAutoHyphens w:val="true"/>
        <w:spacing w:lineRule="auto" w:line="276" w:before="57" w:after="57"/>
        <w:jc w:val="both"/>
        <w:rPr>
          <w:rFonts w:ascii="Arial" w:hAnsi="Arial" w:eastAsia="NSimSun" w:cs="Lucida Sans"/>
          <w:b w:val="false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pPr>
      <w:r>
        <w:rPr>
          <w:rFonts w:eastAsia="NSimSun" w:cs="Lucida Sans" w:ascii="Arial" w:hAnsi="Arial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</w:r>
    </w:p>
    <w:p>
      <w:pPr>
        <w:pStyle w:val="Tretekstu"/>
        <w:suppressAutoHyphens w:val="true"/>
        <w:spacing w:before="0" w:after="0"/>
        <w:jc w:val="both"/>
        <w:rPr>
          <w:color w:val="000000"/>
        </w:rPr>
      </w:pPr>
      <w:r>
        <w:rPr>
          <w:rFonts w:ascii="Arial" w:hAnsi="Arial"/>
          <w:b/>
          <w:bCs/>
          <w:color w:val="000000"/>
          <w:sz w:val="24"/>
          <w:szCs w:val="24"/>
        </w:rPr>
        <w:t xml:space="preserve">12. </w:t>
      </w:r>
      <w:r>
        <w:rPr>
          <w:rFonts w:cs="Arial" w:ascii="Arial" w:hAnsi="Arial"/>
          <w:b/>
          <w:bCs/>
          <w:color w:val="000000"/>
          <w:sz w:val="24"/>
          <w:szCs w:val="24"/>
        </w:rPr>
        <w:t>Warunki ochrony przeciwpożarowej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 w:val="false"/>
          <w:bCs w:val="false"/>
          <w:color w:val="000000"/>
          <w:sz w:val="24"/>
          <w:szCs w:val="24"/>
          <w:u w:val="none"/>
        </w:rPr>
        <w:t>Opis sporządzono zgodnie z Rozporządzeniem Ministra Spraw Wewnętrznych i Administracji z dnia 17 września 2021r. w sprawie uzgadniania projektu budowlanego pod względem ochrony przeciwpożarowej.</w:t>
      </w:r>
    </w:p>
    <w:p>
      <w:pPr>
        <w:pStyle w:val="Bezodstpw"/>
        <w:spacing w:lineRule="auto" w:line="276"/>
        <w:jc w:val="both"/>
        <w:rPr>
          <w:rFonts w:ascii="Arial" w:hAnsi="Arial" w:cs="Calibri"/>
          <w:b/>
          <w:b/>
          <w:bCs/>
          <w:color w:val="000000"/>
          <w:sz w:val="24"/>
          <w:szCs w:val="24"/>
          <w:u w:val="none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12.1. Informacje o powierzchni zabudowy, wysokości i liczbie kondygnacji</w:t>
      </w:r>
      <w:r>
        <w:rPr>
          <w:rFonts w:cs="Calibri" w:ascii="Arial" w:hAnsi="Arial"/>
          <w:color w:val="000000"/>
          <w:sz w:val="24"/>
          <w:szCs w:val="24"/>
        </w:rPr>
        <w:br/>
        <w:t>Podstawowe dane charakteryzujące budynek: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powierzchnia zabudowy 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 xml:space="preserve">496,9 </w:t>
      </w:r>
      <w:r>
        <w:rPr>
          <w:rFonts w:cs="Calibri" w:ascii="Arial" w:hAnsi="Arial"/>
          <w:color w:val="000000"/>
          <w:sz w:val="24"/>
          <w:szCs w:val="24"/>
        </w:rPr>
        <w:t>m²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Wysokość 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>7,4</w:t>
      </w:r>
      <w:r>
        <w:rPr>
          <w:rFonts w:cs="Calibri" w:ascii="Arial" w:hAnsi="Arial"/>
          <w:color w:val="000000"/>
          <w:sz w:val="24"/>
          <w:szCs w:val="24"/>
        </w:rPr>
        <w:t xml:space="preserve"> m – budynek niski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Kubatura: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– </w:t>
      </w:r>
      <w:r>
        <w:rPr>
          <w:rFonts w:eastAsia="Helvetica Neue Light" w:cs="Calibri" w:ascii="Arial" w:hAnsi="Arial"/>
          <w:color w:val="000000"/>
          <w:sz w:val="24"/>
          <w:szCs w:val="24"/>
        </w:rPr>
        <w:t>istniejąca</w:t>
        <w:tab/>
        <w:tab/>
        <w:t>853,16 m</w:t>
      </w:r>
      <w:r>
        <w:rPr>
          <w:rFonts w:eastAsia="Helvetica Neue Light" w:cs="Calibri" w:ascii="Arial" w:hAnsi="Arial"/>
          <w:color w:val="000000"/>
          <w:sz w:val="24"/>
          <w:szCs w:val="24"/>
          <w:vertAlign w:val="superscript"/>
        </w:rPr>
        <w:t>3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– </w:t>
      </w:r>
      <w:r>
        <w:rPr>
          <w:rFonts w:eastAsia="Helvetica Neue Light" w:cs="Calibri" w:ascii="Arial" w:hAnsi="Arial"/>
          <w:color w:val="000000"/>
          <w:sz w:val="24"/>
          <w:szCs w:val="24"/>
        </w:rPr>
        <w:t>projektowana</w:t>
        <w:tab/>
        <w:t>1 818,67 m</w:t>
      </w:r>
      <w:r>
        <w:rPr>
          <w:rFonts w:eastAsia="Helvetica Neue Light" w:cs="Calibri" w:ascii="Arial" w:hAnsi="Arial"/>
          <w:color w:val="000000"/>
          <w:sz w:val="24"/>
          <w:szCs w:val="24"/>
          <w:vertAlign w:val="superscript"/>
        </w:rPr>
        <w:t>3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– </w:t>
      </w:r>
      <w:r>
        <w:rPr>
          <w:rFonts w:eastAsia="Helvetica Neue Light" w:cs="Calibri" w:ascii="Arial" w:hAnsi="Arial"/>
          <w:color w:val="000000"/>
          <w:sz w:val="24"/>
          <w:szCs w:val="24"/>
        </w:rPr>
        <w:t>SUMA</w:t>
        <w:tab/>
        <w:tab/>
        <w:t>2 671,83</w:t>
      </w:r>
      <w:r>
        <w:rPr>
          <w:rFonts w:cs="Calibri" w:ascii="Arial" w:hAnsi="Arial"/>
          <w:color w:val="000000"/>
          <w:sz w:val="24"/>
          <w:szCs w:val="24"/>
        </w:rPr>
        <w:t xml:space="preserve"> m</w:t>
      </w:r>
      <w:r>
        <w:rPr>
          <w:rFonts w:cs="Calibri" w:ascii="Arial" w:hAnsi="Arial"/>
          <w:color w:val="000000"/>
          <w:sz w:val="24"/>
          <w:szCs w:val="24"/>
          <w:vertAlign w:val="superscript"/>
        </w:rPr>
        <w:t>3</w:t>
      </w:r>
    </w:p>
    <w:p>
      <w:pPr>
        <w:pStyle w:val="Bezodstpw"/>
        <w:spacing w:lineRule="auto" w:line="276"/>
        <w:jc w:val="both"/>
        <w:rPr>
          <w:rFonts w:ascii="Arial" w:hAnsi="Arial" w:eastAsia="Helvetica Neue Light" w:cs="Calibri"/>
          <w:color w:val="000000"/>
          <w:sz w:val="24"/>
          <w:szCs w:val="24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sz w:val="24"/>
          <w:szCs w:val="24"/>
        </w:rPr>
        <w:t>Liczba kondygnacji: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 Light" w:cs="Calibri" w:ascii="Arial" w:hAnsi="Arial"/>
          <w:color w:val="000000"/>
          <w:kern w:val="2"/>
          <w:sz w:val="24"/>
          <w:szCs w:val="24"/>
          <w:lang w:val="pl-PL" w:eastAsia="zh-CN" w:bidi="ar-SA"/>
        </w:rPr>
        <w:t>2 kondygnacje</w:t>
      </w:r>
      <w:r>
        <w:rPr>
          <w:rFonts w:eastAsia="Helvetica Neue Light" w:cs="Calibri" w:ascii="Arial" w:hAnsi="Arial"/>
          <w:color w:val="000000"/>
          <w:sz w:val="24"/>
          <w:szCs w:val="24"/>
        </w:rPr>
        <w:t xml:space="preserve"> nadziemn</w:t>
      </w:r>
      <w:r>
        <w:rPr>
          <w:rFonts w:eastAsia="Helvetica Neue Light" w:cs="Calibri" w:ascii="Arial" w:hAnsi="Arial"/>
          <w:color w:val="000000"/>
          <w:kern w:val="2"/>
          <w:sz w:val="24"/>
          <w:szCs w:val="24"/>
          <w:lang w:val="pl-PL" w:eastAsia="zh-CN" w:bidi="ar-SA"/>
        </w:rPr>
        <w:t>e</w:t>
      </w:r>
      <w:r>
        <w:rPr>
          <w:rFonts w:eastAsia="Helvetica Neue Light" w:cs="Calibri" w:ascii="Arial" w:hAnsi="Arial"/>
          <w:color w:val="000000"/>
          <w:sz w:val="24"/>
          <w:szCs w:val="24"/>
        </w:rPr>
        <w:t>, podziemne nie występują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12.2 Charakterystyka zagrożenia pożarowego, w tym informacje o parametrach pożarowych materiałów niebezpiecznych pożarowo oraz zagrożeniach wynikających z procesów technologicznych, a także w zależności od potrzeb – charakterystykę pożarów przyjętych do celów projektowych.</w:t>
      </w:r>
    </w:p>
    <w:p>
      <w:pPr>
        <w:pStyle w:val="Tekstpodstawowy"/>
        <w:overflowPunct w:val="true"/>
        <w:spacing w:lineRule="auto" w:line="276"/>
        <w:ind w:left="40" w:right="167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Materiały niebezpiecznie pożarowo w rozumieniu przepisów rozporządzenia Ministra Spraw Wewnętrznych i Administracji z dnia 7 czerwca 2010r. w sprawie ochrony przeciwpożarowej budynków, innych obiektów budowlanych i terenów nie będą przechowywane. </w:t>
      </w:r>
    </w:p>
    <w:p>
      <w:pPr>
        <w:pStyle w:val="Normal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/>
        </w:rPr>
        <w:t xml:space="preserve">Gaz miejski doprowadzony do pomieszczenia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kotłowni.</w:t>
      </w:r>
    </w:p>
    <w:p>
      <w:pPr>
        <w:pStyle w:val="Normal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" w:cs="Calibri" w:ascii="Arial" w:hAnsi="Arial"/>
          <w:b w:val="false"/>
          <w:bCs w:val="false"/>
          <w:color w:val="000000"/>
          <w:sz w:val="24"/>
          <w:szCs w:val="24"/>
          <w:u w:val="none"/>
        </w:rPr>
        <w:t>W obiekcie przewidziano system detekcji gazu z automatycznym odcięciem dopływu gazu do budynku. Główny zawór gazu na zewnątrz budynku.</w:t>
      </w:r>
    </w:p>
    <w:p>
      <w:pPr>
        <w:pStyle w:val="Bezodstpw"/>
        <w:spacing w:lineRule="auto" w:line="276"/>
        <w:jc w:val="both"/>
        <w:rPr>
          <w:rFonts w:ascii="Arial" w:hAnsi="Arial" w:cs="Calibri"/>
          <w:b/>
          <w:b/>
          <w:bCs/>
          <w:color w:val="000000"/>
          <w:sz w:val="24"/>
          <w:szCs w:val="24"/>
          <w:u w:val="none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12.</w:t>
      </w:r>
      <w:r>
        <w:rPr>
          <w:rFonts w:eastAsia="Times New Roman" w:cs="Calibri" w:ascii="Arial" w:hAnsi="Arial"/>
          <w:b/>
          <w:bCs/>
          <w:color w:val="000000"/>
          <w:kern w:val="2"/>
          <w:sz w:val="24"/>
          <w:szCs w:val="24"/>
          <w:u w:val="none"/>
          <w:lang w:val="pl-PL" w:eastAsia="zh-CN" w:bidi="ar-SA"/>
        </w:rPr>
        <w:t>3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. Informacje o klasyfikacji pożarowej z uwagi na przeznaczenie i spos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b użytkowania</w:t>
      </w: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single"/>
        </w:rPr>
        <w:br/>
      </w:r>
      <w:r>
        <w:rPr>
          <w:rFonts w:eastAsia="Helvetica Neue" w:cs="Calibri" w:ascii="Arial" w:hAnsi="Arial"/>
          <w:b w:val="false"/>
          <w:bCs w:val="false"/>
          <w:color w:val="000000"/>
          <w:sz w:val="24"/>
          <w:szCs w:val="24"/>
          <w:u w:val="none"/>
        </w:rPr>
        <w:t>Budynek zalicza się do kategorii zagrożenia ludzi ZL III. Mogą przebywać ludzie w grupach do 50 osób.</w:t>
      </w:r>
    </w:p>
    <w:p>
      <w:pPr>
        <w:pStyle w:val="Bezodstpw"/>
        <w:spacing w:lineRule="auto" w:line="276"/>
        <w:jc w:val="both"/>
        <w:rPr>
          <w:rFonts w:ascii="Arial" w:hAnsi="Arial" w:eastAsia="Helvetica Neue" w:cs="Calibri"/>
          <w:b w:val="false"/>
          <w:b w:val="false"/>
          <w:bCs w:val="false"/>
          <w:color w:val="000000"/>
          <w:sz w:val="24"/>
          <w:szCs w:val="24"/>
          <w:u w:val="none"/>
        </w:rPr>
      </w:pPr>
      <w:r>
        <w:rPr>
          <w:rFonts w:eastAsia="Helvetica Neue" w:cs="Calibri" w:ascii="Arial" w:hAnsi="Arial"/>
          <w:b w:val="false"/>
          <w:bCs w:val="false"/>
          <w:color w:val="000000"/>
          <w:sz w:val="24"/>
          <w:szCs w:val="24"/>
          <w:u w:val="none"/>
        </w:rPr>
      </w:r>
    </w:p>
    <w:p>
      <w:pPr>
        <w:pStyle w:val="Bezodstpw"/>
        <w:spacing w:lineRule="auto" w:line="276"/>
        <w:jc w:val="left"/>
        <w:rPr>
          <w:color w:val="000000"/>
        </w:rPr>
      </w:pPr>
      <w:r>
        <w:rPr>
          <w:rFonts w:eastAsia="Times New Roman" w:cs="Calibri" w:ascii="Arial" w:hAnsi="Arial"/>
          <w:b/>
          <w:bCs/>
          <w:color w:val="000000"/>
          <w:kern w:val="2"/>
          <w:sz w:val="24"/>
          <w:szCs w:val="24"/>
          <w:u w:val="none" w:color="000000"/>
          <w:lang w:val="pl-PL" w:eastAsia="zh-CN" w:bidi="ar-SA"/>
        </w:rPr>
        <w:t>12</w:t>
      </w:r>
      <w:r>
        <w:rPr>
          <w:rFonts w:cs="Calibri" w:ascii="Arial" w:hAnsi="Arial"/>
          <w:b/>
          <w:bCs/>
          <w:color w:val="000000"/>
          <w:sz w:val="24"/>
          <w:szCs w:val="24"/>
          <w:u w:val="none" w:color="000000"/>
        </w:rPr>
        <w:t>.4. informacje o kategorii zagrożenia ludzi oraz przewidywanej liczbie osób na każdej kondygnacji, a także w pomieszczeniach, których drzwi ewakuacyjne powinny otwierać się na zewnątrz pomieszczeń.</w:t>
      </w:r>
      <w:r>
        <w:rPr>
          <w:rFonts w:eastAsia="Times Roman" w:cs="Calibri" w:ascii="Arial" w:hAnsi="Arial"/>
          <w:color w:val="000000"/>
          <w:sz w:val="24"/>
          <w:szCs w:val="24"/>
        </w:rPr>
        <w:br/>
      </w:r>
      <w:r>
        <w:rPr>
          <w:rFonts w:eastAsia="Arial Unicode MS" w:cs="Calibri" w:ascii="Arial" w:hAnsi="Arial"/>
          <w:color w:val="000000"/>
          <w:sz w:val="24"/>
          <w:szCs w:val="24"/>
        </w:rPr>
        <w:t>Budynek zalicza się do kategorii zagrożenia ludzi ZL III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Arial Unicode MS" w:cs="Calibri" w:ascii="Arial" w:hAnsi="Arial"/>
          <w:color w:val="000000"/>
          <w:sz w:val="24"/>
          <w:szCs w:val="24"/>
        </w:rPr>
        <w:t>Przewidywana liczba os</w:t>
      </w:r>
      <w:r>
        <w:rPr>
          <w:rFonts w:eastAsia="Arial Unicode MS" w:cs="Calibri" w:ascii="Arial" w:hAnsi="Arial"/>
          <w:color w:val="000000"/>
          <w:sz w:val="24"/>
          <w:szCs w:val="24"/>
          <w:lang w:val="es-ES_tradnl"/>
        </w:rPr>
        <w:t>ó</w:t>
      </w:r>
      <w:r>
        <w:rPr>
          <w:rFonts w:eastAsia="Arial Unicode MS" w:cs="Calibri" w:ascii="Arial" w:hAnsi="Arial"/>
          <w:color w:val="000000"/>
          <w:sz w:val="24"/>
          <w:szCs w:val="24"/>
        </w:rPr>
        <w:t xml:space="preserve">b: do </w:t>
      </w:r>
      <w:r>
        <w:rPr>
          <w:rFonts w:eastAsia="Arial Unicode MS" w:cs="Calibri" w:ascii="Arial" w:hAnsi="Arial"/>
          <w:color w:val="000000"/>
          <w:kern w:val="2"/>
          <w:sz w:val="24"/>
          <w:szCs w:val="24"/>
          <w:lang w:val="pl-PL" w:eastAsia="zh-CN" w:bidi="ar-SA"/>
        </w:rPr>
        <w:t>50</w:t>
      </w:r>
      <w:r>
        <w:rPr>
          <w:rFonts w:eastAsia="Arial Unicode MS" w:cs="Calibri" w:ascii="Arial" w:hAnsi="Arial"/>
          <w:color w:val="000000"/>
          <w:sz w:val="24"/>
          <w:szCs w:val="24"/>
        </w:rPr>
        <w:t xml:space="preserve"> osób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Calibri" w:cs="Calibri" w:ascii="Arial" w:hAnsi="Arial"/>
          <w:color w:val="000000"/>
          <w:sz w:val="24"/>
          <w:szCs w:val="24"/>
        </w:rPr>
        <w:tab/>
        <w:tab/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Calibri" w:cs="Calibri" w:ascii="Arial" w:hAnsi="Arial"/>
          <w:b w:val="false"/>
          <w:bCs w:val="false"/>
          <w:color w:val="000000"/>
          <w:sz w:val="24"/>
          <w:szCs w:val="24"/>
          <w:u w:val="none"/>
        </w:rPr>
        <w:t xml:space="preserve">W budynku nie występują pomieszczenia, z których drzwi ewakuacyjne muszą otwierać się na zewnątrz pomieszczeń tj. w których może przebywać powyżej 50 osób.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color w:val="000000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Times New Roman" w:cs="Calibri" w:ascii="Arial" w:hAnsi="Arial"/>
          <w:b/>
          <w:bCs/>
          <w:color w:val="000000"/>
          <w:kern w:val="2"/>
          <w:sz w:val="24"/>
          <w:szCs w:val="24"/>
          <w:u w:val="none"/>
          <w:lang w:val="pl-PL" w:eastAsia="zh-CN" w:bidi="ar-SA"/>
        </w:rPr>
        <w:t>12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.5. Informacje o podziale na strefy pożarowe.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Calibri" w:cs="Calibri" w:ascii="Arial" w:hAnsi="Arial"/>
          <w:b w:val="false"/>
          <w:bCs w:val="false"/>
          <w:color w:val="000000"/>
          <w:sz w:val="24"/>
          <w:szCs w:val="24"/>
          <w:u w:val="none"/>
        </w:rPr>
        <w:t>Budynek kategorii zagrożenia ludzi ZL III w jednej strefie pożarowej. Dopuszczalna powierzchnia strefy pożarowej zachowana.</w:t>
      </w:r>
    </w:p>
    <w:p>
      <w:pPr>
        <w:pStyle w:val="Bezodstpw"/>
        <w:spacing w:lineRule="auto" w:line="276"/>
        <w:jc w:val="both"/>
        <w:rPr>
          <w:rFonts w:ascii="Arial" w:hAnsi="Arial" w:eastAsia="Helvetica Neue" w:cs="Calibri"/>
          <w:color w:val="000000"/>
          <w:sz w:val="24"/>
          <w:szCs w:val="24"/>
        </w:rPr>
      </w:pPr>
      <w:r>
        <w:rPr>
          <w:rFonts w:eastAsia="Helvetica Neue" w:cs="Calibri" w:ascii="Arial" w:hAnsi="Arial"/>
          <w:color w:val="000000"/>
          <w:sz w:val="24"/>
          <w:szCs w:val="24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Times New Roman" w:cs="Calibri" w:ascii="Arial" w:hAnsi="Arial"/>
          <w:b/>
          <w:bCs/>
          <w:color w:val="000000"/>
          <w:kern w:val="2"/>
          <w:sz w:val="24"/>
          <w:szCs w:val="24"/>
          <w:u w:val="none"/>
          <w:lang w:val="pl-PL" w:eastAsia="zh-CN" w:bidi="ar-SA"/>
        </w:rPr>
        <w:t>12.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6. Maksymalną gęstość obciążenia ogniowego poszczególnych stref pożarowych PM wraz z warunkami przyjętymi do jej określenia.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Arial Unicode MS" w:cs="Calibri" w:ascii="Arial" w:hAnsi="Arial"/>
          <w:color w:val="000000"/>
          <w:sz w:val="24"/>
          <w:szCs w:val="24"/>
        </w:rPr>
        <w:t>Dla budynków ZL gęstości obciążenia ogniowego nie wyznacza się.</w:t>
      </w:r>
    </w:p>
    <w:p>
      <w:pPr>
        <w:pStyle w:val="Bezodstpw"/>
        <w:spacing w:lineRule="auto" w:line="276"/>
        <w:jc w:val="both"/>
        <w:rPr>
          <w:rFonts w:ascii="Arial" w:hAnsi="Arial" w:eastAsia="Helvetica Neue" w:cs="Calibri"/>
          <w:color w:val="000000"/>
          <w:sz w:val="24"/>
          <w:szCs w:val="24"/>
        </w:rPr>
      </w:pPr>
      <w:r>
        <w:rPr>
          <w:rFonts w:eastAsia="Helvetica Neue" w:cs="Calibri" w:ascii="Arial" w:hAnsi="Arial"/>
          <w:color w:val="000000"/>
          <w:sz w:val="24"/>
          <w:szCs w:val="24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none"/>
        </w:rPr>
        <w:t>12.</w:t>
      </w:r>
      <w:r>
        <w:rPr>
          <w:rFonts w:eastAsia="Times New Roman" w:cs="Calibri" w:ascii="Arial" w:hAnsi="Arial"/>
          <w:b/>
          <w:bCs/>
          <w:color w:val="000000"/>
          <w:kern w:val="2"/>
          <w:sz w:val="24"/>
          <w:szCs w:val="24"/>
          <w:u w:val="none"/>
          <w:lang w:val="pl-PL" w:eastAsia="zh-CN" w:bidi="ar-SA"/>
        </w:rPr>
        <w:t>7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 xml:space="preserve">. Informacje o klasie odporności pożarowej oraz odporności ogniowej i stopniu rozprzestrzeniania ognia przez ściany zewnętrzne i dachy, </w:t>
      </w:r>
    </w:p>
    <w:p>
      <w:pPr>
        <w:pStyle w:val="Normal"/>
        <w:overflowPunct w:val="false"/>
        <w:spacing w:lineRule="auto" w:line="276"/>
        <w:ind w:left="4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Budynek w klasie „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D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>” odporności pożarowej, z elementów nierozprzestrzeniających ognia (NRO).</w:t>
      </w:r>
    </w:p>
    <w:p>
      <w:pPr>
        <w:pStyle w:val="Normal"/>
        <w:overflowPunct w:val="false"/>
        <w:spacing w:lineRule="auto" w:line="276"/>
        <w:ind w:left="4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Odporność ogniowa poszczególnych elementów budowlanych wynosi odpowiednio dla klasy „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D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>“ odporności pożarowej:</w:t>
      </w:r>
    </w:p>
    <w:p>
      <w:pPr>
        <w:pStyle w:val="Normal"/>
        <w:overflowPunct w:val="false"/>
        <w:spacing w:lineRule="auto" w:line="276"/>
        <w:ind w:left="4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Klasa odporności ogniowej elementów budynku co najmniej: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tru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Gł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ó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>wna konstrukcja nośna – R</w:t>
      </w:r>
      <w:r>
        <w:rPr>
          <w:rFonts w:cs="Calibri" w:ascii="Arial" w:hAnsi="Arial"/>
          <w:color w:val="000000"/>
          <w:spacing w:val="-2"/>
          <w:sz w:val="24"/>
          <w:szCs w:val="24"/>
          <w:lang w:val="pl-PL" w:eastAsia="pl-PL"/>
        </w:rPr>
        <w:t xml:space="preserve">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30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tru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Konstrukcja dachu – R</w:t>
      </w:r>
      <w:r>
        <w:rPr>
          <w:rFonts w:cs="Calibri" w:ascii="Arial" w:hAnsi="Arial"/>
          <w:color w:val="000000"/>
          <w:spacing w:val="-1"/>
          <w:sz w:val="24"/>
          <w:szCs w:val="24"/>
          <w:lang w:val="pl-PL" w:eastAsia="pl-PL"/>
        </w:rPr>
        <w:t xml:space="preserve">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(-)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tru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Ściana zewnętrzna – EI 30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tru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Ściana wewnętrzna – EI</w:t>
      </w:r>
      <w:r>
        <w:rPr>
          <w:rFonts w:cs="Calibri" w:ascii="Arial" w:hAnsi="Arial"/>
          <w:color w:val="000000"/>
          <w:spacing w:val="3"/>
          <w:sz w:val="24"/>
          <w:szCs w:val="24"/>
          <w:lang w:val="pl-PL" w:eastAsia="pl-PL"/>
        </w:rPr>
        <w:t xml:space="preserve">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(-)</w:t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 xml:space="preserve">     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58" w:leader="none"/>
        </w:tabs>
        <w:overflowPunct w:val="true"/>
        <w:spacing w:lineRule="auto" w:line="276"/>
        <w:ind w:left="257" w:hanging="218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 xml:space="preserve">Przekrycie dachu – RE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pl-PL" w:bidi="hi-IN"/>
        </w:rPr>
        <w:t>(-)</w:t>
      </w:r>
    </w:p>
    <w:p>
      <w:pPr>
        <w:pStyle w:val="Normal"/>
        <w:overflowPunct w:val="false"/>
        <w:spacing w:lineRule="auto" w:line="276"/>
        <w:ind w:left="0" w:right="157" w:hanging="0"/>
        <w:jc w:val="both"/>
        <w:rPr>
          <w:rFonts w:ascii="Arial" w:hAnsi="Arial" w:cs="Calibri"/>
          <w:color w:val="000000"/>
          <w:sz w:val="24"/>
          <w:szCs w:val="24"/>
          <w:lang w:val="pl-PL" w:eastAsia="pl-PL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Budynek 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>o</w:t>
      </w:r>
      <w:r>
        <w:rPr>
          <w:rFonts w:cs="Calibri" w:ascii="Arial" w:hAnsi="Arial"/>
          <w:color w:val="000000"/>
          <w:sz w:val="24"/>
          <w:szCs w:val="24"/>
        </w:rPr>
        <w:t xml:space="preserve"> konstrukcji tradycyjnej z zapewnieniem klasy odporności pożarowej „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>D</w:t>
      </w:r>
      <w:r>
        <w:rPr>
          <w:rFonts w:cs="Calibri" w:ascii="Arial" w:hAnsi="Arial"/>
          <w:color w:val="000000"/>
          <w:sz w:val="24"/>
          <w:szCs w:val="24"/>
        </w:rPr>
        <w:t>” z elementów NRO.</w:t>
      </w:r>
    </w:p>
    <w:p>
      <w:pPr>
        <w:pStyle w:val="Bezodstpw"/>
        <w:overflowPunct w:val="false"/>
        <w:spacing w:lineRule="auto" w:line="276"/>
        <w:ind w:left="0" w:right="157" w:hanging="0"/>
        <w:jc w:val="both"/>
        <w:rPr>
          <w:rFonts w:ascii="Arial" w:hAnsi="Arial" w:eastAsia="Helvetica Neue" w:cs="Calibri"/>
          <w:b/>
          <w:b/>
          <w:bCs/>
          <w:color w:val="000000"/>
          <w:sz w:val="24"/>
          <w:szCs w:val="24"/>
          <w:u w:val="single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singl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none"/>
        </w:rPr>
        <w:t>12.</w:t>
      </w:r>
      <w:r>
        <w:rPr>
          <w:rFonts w:eastAsia="Times New Roman" w:cs="Calibri" w:ascii="Arial" w:hAnsi="Arial"/>
          <w:b/>
          <w:bCs/>
          <w:color w:val="000000"/>
          <w:kern w:val="2"/>
          <w:sz w:val="24"/>
          <w:szCs w:val="24"/>
          <w:u w:val="none"/>
          <w:lang w:val="pl-PL" w:eastAsia="zh-CN" w:bidi="ar-SA"/>
        </w:rPr>
        <w:t>8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. Informacje o występowaniu zagrożenia wybuchem, w tym informacje dotyczące pomieszczeń zagrożonych wybuchem oraz stref zagrożenia wybuchem w przestrzeni zewnętrznej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W budynku nie projektuje się pomieszczeń zagrożonych wybuchem, takie zagrożenie dla przestrzeni zewnętrznych również nie występuje. W obiekcie nie występują materiały wybuchowe. W budynku przewidziano system detekcji gazu z automatycznym odcięciem dopływu gazu do budynku.</w:t>
      </w:r>
    </w:p>
    <w:p>
      <w:pPr>
        <w:pStyle w:val="Bezodstpw"/>
        <w:spacing w:lineRule="auto" w:line="276"/>
        <w:jc w:val="both"/>
        <w:rPr>
          <w:rFonts w:ascii="Arial" w:hAnsi="Arial" w:eastAsia="Helvetica Neue" w:cs="Calibri"/>
          <w:b/>
          <w:b/>
          <w:bCs/>
          <w:color w:val="000000"/>
          <w:sz w:val="24"/>
          <w:szCs w:val="24"/>
          <w:u w:val="single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singl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Helvetica Neue" w:cs="Calibri" w:ascii="Arial" w:hAnsi="Arial"/>
          <w:b/>
          <w:bCs/>
          <w:color w:val="000000"/>
          <w:sz w:val="24"/>
          <w:szCs w:val="24"/>
          <w:u w:val="none"/>
        </w:rPr>
        <w:t>12.</w:t>
      </w:r>
      <w:r>
        <w:rPr>
          <w:rFonts w:eastAsia="Times New Roman" w:cs="Calibri" w:ascii="Arial" w:hAnsi="Arial"/>
          <w:b/>
          <w:bCs/>
          <w:color w:val="000000"/>
          <w:kern w:val="2"/>
          <w:sz w:val="24"/>
          <w:szCs w:val="24"/>
          <w:u w:val="none"/>
          <w:lang w:val="pl-PL" w:eastAsia="zh-CN" w:bidi="ar-SA"/>
        </w:rPr>
        <w:t>9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 xml:space="preserve">. </w:t>
      </w:r>
      <w:r>
        <w:rPr>
          <w:rFonts w:cs="Calibri" w:ascii="Arial" w:hAnsi="Arial"/>
          <w:b/>
          <w:bCs/>
          <w:color w:val="000000"/>
          <w:sz w:val="24"/>
          <w:szCs w:val="24"/>
          <w:u w:val="none" w:color="000000"/>
        </w:rPr>
        <w:t>Informacja o warunkach i strategii ewakuacji ludzi lub ich uratowania w inny sposób, uwzględniające liczbę i stan sprawności osób przebywających w obiekcie,</w:t>
      </w:r>
      <w:r>
        <w:rPr>
          <w:rFonts w:eastAsia="Times Roman" w:cs="Calibri" w:ascii="Arial" w:hAnsi="Arial"/>
          <w:color w:val="000000"/>
          <w:sz w:val="24"/>
          <w:szCs w:val="24"/>
        </w:rPr>
        <w:br/>
      </w:r>
      <w:r>
        <w:rPr>
          <w:rFonts w:cs="Calibri" w:ascii="Arial" w:hAnsi="Arial"/>
          <w:color w:val="000000"/>
          <w:sz w:val="24"/>
          <w:szCs w:val="24"/>
          <w:lang w:val="pl-PL" w:eastAsia="pl-PL"/>
        </w:rPr>
        <w:t>Warunki ewakuacji zachowane.</w:t>
      </w:r>
    </w:p>
    <w:p>
      <w:pPr>
        <w:pStyle w:val="Normal"/>
        <w:overflowPunct w:val="true"/>
        <w:spacing w:lineRule="auto" w:line="276"/>
        <w:ind w:left="40" w:right="62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W budynku zapewniono możliwość przeprowadzenia sprawnej ewakuacji wszystkich przebywających osób, zasadniczo bezpośrednio na zewnątrz budynku. Drzwi do pomieszczeń o szerokości 0,9m – przy ewakuacji do 3 osób dopuszcza się 0,8m.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Długości przejść ewakuacyjnych w pomieszczeniach nie przekraczają 40 m – wartości dopuszczalne są zachowane. W pomieszczeniach długości przejść nie prowadzą łącznie </w:t>
      </w:r>
      <w:r>
        <w:rPr>
          <w:rFonts w:cs="Calibri" w:ascii="Arial" w:hAnsi="Arial"/>
          <w:b w:val="false"/>
          <w:bCs w:val="false"/>
          <w:color w:val="000000"/>
          <w:sz w:val="24"/>
          <w:szCs w:val="24"/>
        </w:rPr>
        <w:t>przez więcej niż trzy pomieszczenia.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 w:val="false"/>
          <w:bCs w:val="false"/>
          <w:color w:val="000000"/>
          <w:sz w:val="24"/>
          <w:szCs w:val="24"/>
          <w:u w:val="none"/>
        </w:rPr>
        <w:t>Obiekt wyposażony w normatywne oświetlenie ewakuacyjne o natężeniu co najmniej 1 Lx i czasie świecenia co najmniej 1 godziny.</w:t>
      </w:r>
    </w:p>
    <w:p>
      <w:pPr>
        <w:pStyle w:val="Bezodstpw"/>
        <w:spacing w:lineRule="auto" w:line="276"/>
        <w:jc w:val="both"/>
        <w:rPr>
          <w:rFonts w:ascii="Arial" w:hAnsi="Arial" w:cs="Calibri"/>
          <w:color w:val="000000"/>
          <w:sz w:val="24"/>
          <w:szCs w:val="24"/>
          <w:u w:val="none"/>
        </w:rPr>
      </w:pPr>
      <w:r>
        <w:rPr>
          <w:rFonts w:cs="Calibri" w:ascii="Arial" w:hAnsi="Arial"/>
          <w:color w:val="000000"/>
          <w:sz w:val="24"/>
          <w:szCs w:val="24"/>
          <w:u w:val="non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Times New Roman" w:cs="Calibri" w:ascii="Arial" w:hAnsi="Arial"/>
          <w:b/>
          <w:color w:val="000000"/>
          <w:kern w:val="2"/>
          <w:sz w:val="24"/>
          <w:szCs w:val="24"/>
          <w:u w:val="none"/>
          <w:lang w:val="pl-PL" w:eastAsia="zh-CN" w:bidi="ar-SA"/>
        </w:rPr>
        <w:t>12</w:t>
      </w:r>
      <w:r>
        <w:rPr>
          <w:rFonts w:cs="Calibri" w:ascii="Arial" w:hAnsi="Arial"/>
          <w:b/>
          <w:color w:val="000000"/>
          <w:sz w:val="24"/>
          <w:szCs w:val="24"/>
          <w:u w:val="none"/>
        </w:rPr>
        <w:t>.10.Informacje o doborze urządzeń przeciwpożarowych oraz innych instalacji i urządzeń sł</w:t>
      </w:r>
      <w:r>
        <w:rPr>
          <w:rFonts w:cs="Calibri" w:ascii="Arial" w:hAnsi="Arial"/>
          <w:b/>
          <w:color w:val="000000"/>
          <w:sz w:val="24"/>
          <w:szCs w:val="24"/>
          <w:u w:val="none"/>
          <w:lang w:val="it-IT"/>
        </w:rPr>
        <w:t>uz</w:t>
      </w:r>
      <w:r>
        <w:rPr>
          <w:rFonts w:cs="Calibri" w:ascii="Arial" w:hAnsi="Arial"/>
          <w:b/>
          <w:color w:val="000000"/>
          <w:sz w:val="24"/>
          <w:szCs w:val="24"/>
          <w:u w:val="none"/>
        </w:rPr>
        <w:t>̇ących bezpieczeństwu pożarowemu wraz z określeniem zakresu i celu ich stosowania,</w:t>
      </w:r>
      <w:r>
        <w:rPr>
          <w:rFonts w:cs="Calibri" w:ascii="Arial" w:hAnsi="Arial"/>
          <w:color w:val="000000"/>
          <w:sz w:val="24"/>
          <w:szCs w:val="24"/>
          <w:u w:val="none"/>
        </w:rPr>
        <w:t xml:space="preserve"> </w:t>
      </w:r>
    </w:p>
    <w:p>
      <w:pPr>
        <w:pStyle w:val="Akapitzlist"/>
        <w:suppressAutoHyphens w:val="true"/>
        <w:spacing w:lineRule="auto" w:line="276"/>
        <w:ind w:left="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u w:val="single"/>
          <w:lang w:val="pl-PL"/>
        </w:rPr>
        <w:t>Oświetlenie ewakuacyjne</w:t>
      </w:r>
    </w:p>
    <w:p>
      <w:pPr>
        <w:pStyle w:val="Akapitzlist"/>
        <w:suppressAutoHyphens w:val="true"/>
        <w:spacing w:lineRule="auto" w:line="276"/>
        <w:ind w:left="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/>
        </w:rPr>
        <w:t>Oświetlenie ewakuacyjne zapewniające natężenie oświetlenia co najmniej 1Lx na powierzchni dróg ewakuacyjnych i czasie świecenia co najmniej 60 min. Oświetlenie wyposażone w lampy z piktogramami wskazującymi kierunki i wyjścia ewakuacyjne. Oświetlenie ewakuacyjne zgodne z PN-EN 1838 Zastosowania oświetlenia. Oświetlenie awaryjne oraz PN-EN 50172 Systemy awaryjnego oświetlenia ewakuacyjnego. Oświetlenie ewakuacyjne przy każdych drzwiach wyjściowych przeznaczonych do wyjścia ewakuacyjnego, przy każdej zmianie kierunku ruchu, na zewnątrz i w pobliżu każdego wyjścia końcowego itp. jak w pkt. 4.1 normy.</w:t>
      </w:r>
    </w:p>
    <w:p>
      <w:pPr>
        <w:pStyle w:val="Akapitzlist"/>
        <w:suppressAutoHyphens w:val="true"/>
        <w:spacing w:lineRule="auto" w:line="276"/>
        <w:ind w:left="0" w:right="0" w:hanging="0"/>
        <w:jc w:val="both"/>
        <w:rPr>
          <w:rFonts w:ascii="Arial" w:hAnsi="Arial" w:cs="Calibri"/>
          <w:color w:val="000000"/>
          <w:sz w:val="24"/>
          <w:szCs w:val="24"/>
          <w:lang w:val="pl-PL"/>
        </w:rPr>
      </w:pPr>
      <w:r>
        <w:rPr>
          <w:rFonts w:cs="Calibri" w:ascii="Arial" w:hAnsi="Arial"/>
          <w:color w:val="000000"/>
          <w:sz w:val="24"/>
          <w:szCs w:val="24"/>
          <w:lang w:val="pl-PL"/>
        </w:rPr>
      </w:r>
    </w:p>
    <w:p>
      <w:pPr>
        <w:pStyle w:val="Akapitzlist"/>
        <w:suppressAutoHyphens w:val="true"/>
        <w:spacing w:lineRule="auto" w:line="276"/>
        <w:ind w:left="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u w:val="single"/>
          <w:lang w:val="pl-PL"/>
        </w:rPr>
        <w:t>Przeciwpożarowy wyłącznik prądu</w:t>
      </w:r>
    </w:p>
    <w:p>
      <w:pPr>
        <w:pStyle w:val="Akapitzlist"/>
        <w:suppressAutoHyphens w:val="true"/>
        <w:spacing w:lineRule="auto" w:line="276"/>
        <w:ind w:left="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/>
        </w:rPr>
        <w:t xml:space="preserve">Przeciwpożarowy wyłącznik prądu, odcinający dopływ prądu do wszystkich obwodów budynku. </w:t>
      </w:r>
    </w:p>
    <w:p>
      <w:pPr>
        <w:pStyle w:val="Akapitzlist"/>
        <w:suppressAutoHyphens w:val="true"/>
        <w:spacing w:lineRule="auto" w:line="276"/>
        <w:ind w:left="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u w:val="single"/>
          <w:lang w:val="pl-PL"/>
        </w:rPr>
        <w:t>System detekcji gazu</w:t>
      </w:r>
    </w:p>
    <w:p>
      <w:pPr>
        <w:pStyle w:val="Akapitzlist"/>
        <w:suppressAutoHyphens w:val="true"/>
        <w:spacing w:lineRule="auto" w:line="276"/>
        <w:ind w:left="0" w:right="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/>
        </w:rPr>
        <w:t>Pomieszczenia z urządzeniami gazowymi o mocy cieplnej powyżej 60kW wyposażone w system detekcji gazu z automatycznym odcięciem dopływu gazu do budynku.</w:t>
      </w:r>
    </w:p>
    <w:p>
      <w:pPr>
        <w:pStyle w:val="Bezodstpw"/>
        <w:spacing w:lineRule="auto" w:line="276"/>
        <w:jc w:val="both"/>
        <w:rPr>
          <w:rFonts w:ascii="Arial" w:hAnsi="Arial" w:cs="Calibri"/>
          <w:iCs/>
          <w:color w:val="000000"/>
          <w:sz w:val="24"/>
          <w:szCs w:val="24"/>
          <w:lang w:val="pl-PL"/>
        </w:rPr>
      </w:pPr>
      <w:r>
        <w:rPr>
          <w:rFonts w:cs="Calibri" w:ascii="Arial" w:hAnsi="Arial"/>
          <w:iCs/>
          <w:color w:val="000000"/>
          <w:sz w:val="24"/>
          <w:szCs w:val="24"/>
          <w:lang w:val="pl-PL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WYPOSAŻENIE W GAŚNICE</w:t>
      </w:r>
    </w:p>
    <w:p>
      <w:pPr>
        <w:pStyle w:val="Normal"/>
        <w:overflowPunct w:val="true"/>
        <w:spacing w:lineRule="auto" w:line="276"/>
        <w:ind w:left="4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Budynek wyposażono w gaśnice proszkowe GP 4-6 kg (ABC), spełniające wymagania Polskich Norm będących odpowiednikami Norm Europejskich (EN), w ilości 2 kg środka gaśniczego na każde 100m2 powierzchni.</w:t>
      </w:r>
    </w:p>
    <w:p>
      <w:pPr>
        <w:pStyle w:val="Normal"/>
        <w:overflowPunct w:val="true"/>
        <w:spacing w:lineRule="auto" w:line="276"/>
        <w:ind w:left="40" w:hanging="0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  <w:t>Gaśnice rozmieszczono w szafkach hydrantowych i na uchwytach ściennych, a miejsca ich usytuowania oznakowano zgodnie z wymaganiami Polskiej Normy PN-92/N-01256/01.</w:t>
      </w:r>
    </w:p>
    <w:p>
      <w:pPr>
        <w:pStyle w:val="Bezodstpw"/>
        <w:spacing w:lineRule="auto" w:line="276"/>
        <w:jc w:val="both"/>
        <w:rPr>
          <w:rFonts w:ascii="Arial" w:hAnsi="Arial" w:cs="Calibri"/>
          <w:color w:val="000000"/>
          <w:sz w:val="24"/>
          <w:szCs w:val="24"/>
          <w:lang w:val="pl-PL" w:eastAsia="pl-PL"/>
        </w:rPr>
      </w:pPr>
      <w:r>
        <w:rPr>
          <w:rFonts w:cs="Calibri" w:ascii="Arial" w:hAnsi="Arial"/>
          <w:color w:val="000000"/>
          <w:sz w:val="24"/>
          <w:szCs w:val="24"/>
          <w:lang w:val="pl-PL" w:eastAsia="pl-PL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INSTALACJE UŻYTKOWE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Instalacja elektryczna w budynku wykonana zgodnie z normami w tym m.in: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PN-IEC-60364-4:2000 Instalacje elektryczne w obiektach budowlanych - Zakres, przedmiot i wymagania podstawowe,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PN-IEC-60364-4-41:2000 Instalacje elektryczne w obiektach budowlanych – Ochrona dla zapewnienia bezpieczeństwa – Ochrona przeciwporażeniowa,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iCs/>
          <w:color w:val="000000"/>
          <w:sz w:val="24"/>
          <w:szCs w:val="24"/>
        </w:rPr>
        <w:t>PN-IEC-60364-4-482:1999 Instalacje elektryczne w obiektach budowlanych - Ochrona dla zapewnienia bezpiecze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>ń</w:t>
      </w:r>
      <w:r>
        <w:rPr>
          <w:rFonts w:cs="Calibri" w:ascii="Arial" w:hAnsi="Arial"/>
          <w:iCs/>
          <w:color w:val="000000"/>
          <w:sz w:val="24"/>
          <w:szCs w:val="24"/>
        </w:rPr>
        <w:t xml:space="preserve">stwa. Dobór 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>ś</w:t>
      </w:r>
      <w:r>
        <w:rPr>
          <w:rFonts w:cs="Calibri" w:ascii="Arial" w:hAnsi="Arial"/>
          <w:iCs/>
          <w:color w:val="000000"/>
          <w:sz w:val="24"/>
          <w:szCs w:val="24"/>
        </w:rPr>
        <w:t>rodków ochrony w zale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>ż</w:t>
      </w:r>
      <w:r>
        <w:rPr>
          <w:rFonts w:cs="Calibri" w:ascii="Arial" w:hAnsi="Arial"/>
          <w:iCs/>
          <w:color w:val="000000"/>
          <w:sz w:val="24"/>
          <w:szCs w:val="24"/>
        </w:rPr>
        <w:t>no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>ś</w:t>
      </w:r>
      <w:r>
        <w:rPr>
          <w:rFonts w:cs="Calibri" w:ascii="Arial" w:hAnsi="Arial"/>
          <w:iCs/>
          <w:color w:val="000000"/>
          <w:sz w:val="24"/>
          <w:szCs w:val="24"/>
        </w:rPr>
        <w:t>ci od wpływów zewn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>ę</w:t>
      </w:r>
      <w:r>
        <w:rPr>
          <w:rFonts w:cs="Calibri" w:ascii="Arial" w:hAnsi="Arial"/>
          <w:iCs/>
          <w:color w:val="000000"/>
          <w:sz w:val="24"/>
          <w:szCs w:val="24"/>
        </w:rPr>
        <w:t>trznych - Ochrona przeciwpo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>ż</w:t>
      </w:r>
      <w:r>
        <w:rPr>
          <w:rFonts w:cs="Calibri" w:ascii="Arial" w:hAnsi="Arial"/>
          <w:iCs/>
          <w:color w:val="000000"/>
          <w:sz w:val="24"/>
          <w:szCs w:val="24"/>
        </w:rPr>
        <w:t xml:space="preserve">arowa,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iCs/>
          <w:color w:val="000000"/>
          <w:sz w:val="24"/>
          <w:szCs w:val="24"/>
        </w:rPr>
        <w:t>PN-HD-60364-5-56 Instalacje elektryczne niskiego napięcia. Dobór i montaż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 xml:space="preserve"> </w:t>
      </w:r>
      <w:r>
        <w:rPr>
          <w:rFonts w:cs="Calibri" w:ascii="Arial" w:hAnsi="Arial"/>
          <w:iCs/>
          <w:color w:val="000000"/>
          <w:sz w:val="24"/>
          <w:szCs w:val="24"/>
        </w:rPr>
        <w:t>wyposa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>ż</w:t>
      </w:r>
      <w:r>
        <w:rPr>
          <w:rFonts w:cs="Calibri" w:ascii="Arial" w:hAnsi="Arial"/>
          <w:iCs/>
          <w:color w:val="000000"/>
          <w:sz w:val="24"/>
          <w:szCs w:val="24"/>
        </w:rPr>
        <w:t>enia elektrycznego. Instalacje bezpiecze</w:t>
      </w:r>
      <w:r>
        <w:rPr>
          <w:rFonts w:eastAsia="TTE2224318t00;Yu Gothic" w:cs="Calibri" w:ascii="Arial" w:hAnsi="Arial"/>
          <w:iCs/>
          <w:color w:val="000000"/>
          <w:sz w:val="24"/>
          <w:szCs w:val="24"/>
        </w:rPr>
        <w:t>ń</w:t>
      </w:r>
      <w:r>
        <w:rPr>
          <w:rFonts w:cs="Calibri" w:ascii="Arial" w:hAnsi="Arial"/>
          <w:iCs/>
          <w:color w:val="000000"/>
          <w:sz w:val="24"/>
          <w:szCs w:val="24"/>
        </w:rPr>
        <w:t xml:space="preserve">stwa.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iCs/>
          <w:color w:val="000000"/>
          <w:sz w:val="24"/>
          <w:szCs w:val="24"/>
        </w:rPr>
        <w:t>Instalacja elektryczna z przeciwpożarowym wyłącznikiem prądu.</w:t>
      </w:r>
    </w:p>
    <w:p>
      <w:pPr>
        <w:pStyle w:val="Bezodstpw"/>
        <w:spacing w:lineRule="auto" w:line="276"/>
        <w:jc w:val="both"/>
        <w:rPr>
          <w:rFonts w:ascii="Arial" w:hAnsi="Arial" w:cs="Calibri"/>
          <w:color w:val="000000"/>
          <w:sz w:val="24"/>
          <w:szCs w:val="24"/>
        </w:rPr>
      </w:pPr>
      <w:r>
        <w:rPr>
          <w:rFonts w:cs="Calibri" w:ascii="Arial" w:hAnsi="Arial"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  <w:lang w:val="pl-PL"/>
        </w:rPr>
        <w:t>Ogrzewanie z pieca gazowego. Główny zawór gazu na zewnątrz budynku</w:t>
      </w:r>
    </w:p>
    <w:p>
      <w:pPr>
        <w:pStyle w:val="Normal"/>
        <w:spacing w:lineRule="auto" w:line="276"/>
        <w:jc w:val="both"/>
        <w:rPr>
          <w:rFonts w:ascii="Arial" w:hAnsi="Arial" w:cs="Calibri"/>
          <w:color w:val="000000"/>
          <w:sz w:val="24"/>
          <w:szCs w:val="24"/>
          <w:lang w:val="pl-PL"/>
        </w:rPr>
      </w:pPr>
      <w:r>
        <w:rPr>
          <w:rFonts w:cs="Calibri" w:ascii="Arial" w:hAnsi="Arial"/>
          <w:color w:val="000000"/>
          <w:sz w:val="24"/>
          <w:szCs w:val="24"/>
          <w:lang w:val="pl-PL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Instalacja gazowa zgodna z Polskimi Normami.</w:t>
      </w:r>
    </w:p>
    <w:p>
      <w:pPr>
        <w:pStyle w:val="Bezodstpw"/>
        <w:spacing w:lineRule="auto" w:line="276"/>
        <w:jc w:val="both"/>
        <w:rPr>
          <w:rFonts w:ascii="Arial" w:hAnsi="Arial" w:cs="Calibri"/>
          <w:color w:val="000000"/>
          <w:sz w:val="24"/>
          <w:szCs w:val="24"/>
        </w:rPr>
      </w:pPr>
      <w:r>
        <w:rPr>
          <w:rFonts w:cs="Calibri" w:ascii="Arial" w:hAnsi="Arial"/>
          <w:color w:val="000000"/>
          <w:sz w:val="24"/>
          <w:szCs w:val="24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Instalacja odgromowa zgodna z PN, ochrona podstawowa.</w:t>
      </w:r>
    </w:p>
    <w:p>
      <w:pPr>
        <w:pStyle w:val="Bezodstpw"/>
        <w:spacing w:lineRule="auto" w:line="276"/>
        <w:jc w:val="both"/>
        <w:rPr>
          <w:rFonts w:ascii="Arial" w:hAnsi="Arial" w:cs="Calibri"/>
          <w:color w:val="000000"/>
          <w:sz w:val="24"/>
          <w:szCs w:val="24"/>
        </w:rPr>
      </w:pPr>
      <w:r>
        <w:rPr>
          <w:rFonts w:cs="Calibri" w:ascii="Arial" w:hAnsi="Arial"/>
          <w:color w:val="000000"/>
          <w:sz w:val="24"/>
          <w:szCs w:val="24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Instalacja wentylacyjna zgodna z PN, przewody z materiałów niepalnych. </w:t>
      </w:r>
    </w:p>
    <w:p>
      <w:pPr>
        <w:pStyle w:val="Bezodstpw"/>
        <w:spacing w:lineRule="auto" w:line="276"/>
        <w:jc w:val="both"/>
        <w:rPr>
          <w:rFonts w:ascii="Arial" w:hAnsi="Arial" w:cs="Calibri"/>
          <w:color w:val="000000"/>
          <w:sz w:val="24"/>
          <w:szCs w:val="24"/>
        </w:rPr>
      </w:pPr>
      <w:r>
        <w:rPr>
          <w:rFonts w:cs="Calibri" w:ascii="Arial" w:hAnsi="Arial"/>
          <w:color w:val="000000"/>
          <w:sz w:val="24"/>
          <w:szCs w:val="24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 w:val="false"/>
          <w:bCs w:val="false"/>
          <w:color w:val="000000"/>
          <w:sz w:val="24"/>
          <w:szCs w:val="24"/>
          <w:u w:val="none"/>
        </w:rPr>
        <w:t xml:space="preserve">Jako otuliny termoizolacyjne rur wodociągowych, instalacji grzewczej, wentylacji i klimatyzacji wyłącznie materiały posiadające cechę nierozprzestrzeniających ognia (NRO). </w:t>
      </w:r>
    </w:p>
    <w:p>
      <w:pPr>
        <w:pStyle w:val="Bezodstpw"/>
        <w:spacing w:lineRule="auto" w:line="276"/>
        <w:jc w:val="both"/>
        <w:rPr>
          <w:rFonts w:ascii="Arial" w:hAnsi="Arial" w:cs="Calibri"/>
          <w:b/>
          <w:b/>
          <w:bCs/>
          <w:color w:val="000000"/>
          <w:sz w:val="24"/>
          <w:szCs w:val="24"/>
          <w:u w:val="none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eastAsia="Times New Roman" w:cs="Calibri" w:ascii="Arial" w:hAnsi="Arial"/>
          <w:b/>
          <w:color w:val="000000"/>
          <w:kern w:val="2"/>
          <w:sz w:val="24"/>
          <w:szCs w:val="24"/>
          <w:u w:val="none"/>
          <w:lang w:val="pl-PL" w:eastAsia="zh-CN" w:bidi="ar-SA"/>
        </w:rPr>
        <w:t>12</w:t>
      </w:r>
      <w:r>
        <w:rPr>
          <w:rFonts w:cs="Calibri" w:ascii="Arial" w:hAnsi="Arial"/>
          <w:b/>
          <w:color w:val="000000"/>
          <w:sz w:val="24"/>
          <w:szCs w:val="24"/>
          <w:u w:val="none"/>
        </w:rPr>
        <w:t>.11.Informacje o przygotowaniu obiektu budowlanego do prowadzenia działań ratowniczych, w tym informacje o punktach poboru wody do cel</w:t>
      </w:r>
      <w:r>
        <w:rPr>
          <w:rFonts w:cs="Calibri" w:ascii="Arial" w:hAnsi="Arial"/>
          <w:b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color w:val="000000"/>
          <w:sz w:val="24"/>
          <w:szCs w:val="24"/>
          <w:u w:val="none"/>
        </w:rPr>
        <w:t>w przeciwpożarowych, nasadach sł</w:t>
      </w:r>
      <w:r>
        <w:rPr>
          <w:rFonts w:cs="Calibri" w:ascii="Arial" w:hAnsi="Arial"/>
          <w:b/>
          <w:color w:val="000000"/>
          <w:sz w:val="24"/>
          <w:szCs w:val="24"/>
          <w:u w:val="none"/>
          <w:lang w:val="it-IT"/>
        </w:rPr>
        <w:t>uz</w:t>
      </w:r>
      <w:r>
        <w:rPr>
          <w:rFonts w:cs="Calibri" w:ascii="Arial" w:hAnsi="Arial"/>
          <w:b/>
          <w:color w:val="000000"/>
          <w:sz w:val="24"/>
          <w:szCs w:val="24"/>
          <w:u w:val="none"/>
        </w:rPr>
        <w:t xml:space="preserve">̇ących do zasilania urządzeń gaśniczych i innych rozwiązaniach przewidzianych do tych działań oraz dźwigach dla ekip ratowniczych i prowadzących do nich dojściach, 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Wymaganą ilość wody do zewnętrznego gaszenia pożaru wynoszącą 20 dm3/s zapewniają dwa hydranty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zewnętrzne</w:t>
      </w:r>
      <w:r>
        <w:rPr>
          <w:rFonts w:cs="Calibri" w:ascii="Arial" w:hAnsi="Arial"/>
          <w:color w:val="000000"/>
          <w:sz w:val="24"/>
          <w:szCs w:val="24"/>
        </w:rPr>
        <w:t xml:space="preserve"> DN 80 każdy o wydajności co najmniej 10 dm3/s tj. 2 x 10 dm3/s, hydrant zlokalizowany w odległości 5-75m od budynku, a drugi do 150m, hydranty zainstalowane na miejskiej sieci wodociągowej.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Przewiduje się działanie jednoczesne dwóch hydrantów (o łącznej wydajności co najmniej 20 dm3/s, przy ciśnieniu 0,2 MPa).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Droga pożarowa ul. </w:t>
      </w:r>
      <w:r>
        <w:rPr>
          <w:rFonts w:eastAsia="NSimSun" w:cs="Calibri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Strzelców Bytomskich</w:t>
      </w:r>
      <w:r>
        <w:rPr>
          <w:rFonts w:cs="Calibri" w:ascii="Arial" w:hAnsi="Arial"/>
          <w:color w:val="000000"/>
          <w:sz w:val="24"/>
          <w:szCs w:val="24"/>
        </w:rPr>
        <w:t xml:space="preserve"> zlokalizowana jest wzdłuż elewacji budynku, w odległości 5,0 m do 15m. Droga umożliwia przejazd pojazdów ratowniczo – gaśniczych PSP o nacisku osi na nawierzchnię jezdni co najmniej 100 kN, posiada nawierzchnię utwardzoną o szerokości 4,0 m i zewnętrzne promienie skrętu 11,0 m.</w:t>
      </w:r>
    </w:p>
    <w:p>
      <w:pPr>
        <w:pStyle w:val="Tekstpodstawowy"/>
        <w:overflowPunct w:val="true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 w:val="false"/>
          <w:bCs w:val="false"/>
          <w:color w:val="000000"/>
          <w:sz w:val="24"/>
          <w:szCs w:val="24"/>
          <w:u w:val="none"/>
        </w:rPr>
        <w:t>Zapewniono połączenie drogi pożarowej utwardzonym dojściem do budynku o długości do 30m. Dojazd pożarowy jak do budynku niskiego jednokondygnacyjnego.</w:t>
      </w:r>
    </w:p>
    <w:p>
      <w:pPr>
        <w:pStyle w:val="Bezodstpw"/>
        <w:spacing w:lineRule="auto" w:line="276"/>
        <w:jc w:val="both"/>
        <w:rPr>
          <w:rFonts w:ascii="Arial" w:hAnsi="Arial" w:cs="Calibri"/>
          <w:b/>
          <w:b/>
          <w:bCs/>
          <w:color w:val="000000"/>
          <w:sz w:val="24"/>
          <w:szCs w:val="24"/>
          <w:u w:val="none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12.12. Informacje o usytuowaniu z uwagi na bezpieczeństwo pożarowe, w tym informacje o odległościach od sąsiadujących obiekt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w budowlanych, działek lub teren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w oraz parametrach wpływających na odległości dopuszczalne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Budynek wolnostojący z zachowaniem wymagań odległości od granicy działki i budynków sąsiednich, wg wymagań §271” warunków technicznych”. W odległości 4,0m od granicy działki budowlanej i 8,0m nie występują sąsiednie budynki ZL.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 xml:space="preserve">Budynek oddalony jest od najbliższego obiektu budowlanego o około 43 m, pozostałe odległości do sąsiadujących budynków są większe. Najbliższa odległość od granicy działki budowlanej to </w:t>
      </w:r>
      <w:r>
        <w:rPr>
          <w:rFonts w:eastAsia="Times New Roman" w:cs="Calibri" w:ascii="Arial" w:hAnsi="Arial"/>
          <w:color w:val="000000"/>
          <w:kern w:val="2"/>
          <w:sz w:val="24"/>
          <w:szCs w:val="24"/>
          <w:lang w:val="pl-PL" w:eastAsia="zh-CN" w:bidi="ar-SA"/>
        </w:rPr>
        <w:t>16,24</w:t>
      </w:r>
      <w:r>
        <w:rPr>
          <w:rFonts w:cs="Calibri" w:ascii="Arial" w:hAnsi="Arial"/>
          <w:color w:val="000000"/>
          <w:sz w:val="24"/>
          <w:szCs w:val="24"/>
        </w:rPr>
        <w:t xml:space="preserve"> m, pozostałe odległości są większe.</w:t>
      </w:r>
    </w:p>
    <w:p>
      <w:pPr>
        <w:pStyle w:val="Bezodstpw"/>
        <w:spacing w:lineRule="auto" w:line="276"/>
        <w:jc w:val="both"/>
        <w:rPr>
          <w:rFonts w:ascii="Arial" w:hAnsi="Arial" w:cs="Calibri"/>
          <w:b/>
          <w:b/>
          <w:bCs/>
          <w:color w:val="000000"/>
          <w:sz w:val="24"/>
          <w:szCs w:val="24"/>
          <w:u w:val="none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12.</w:t>
      </w:r>
      <w:r>
        <w:rPr>
          <w:rFonts w:eastAsia="Times New Roman" w:cs="Calibri" w:ascii="Arial" w:hAnsi="Arial"/>
          <w:b/>
          <w:bCs/>
          <w:color w:val="000000"/>
          <w:kern w:val="2"/>
          <w:sz w:val="24"/>
          <w:szCs w:val="24"/>
          <w:u w:val="none"/>
          <w:lang w:val="pl-PL" w:eastAsia="zh-CN" w:bidi="ar-SA"/>
        </w:rPr>
        <w:t>13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>. Informacje o rozwiązaniach zamiennych w stosunku do wymagań ochrony przeciwpożarowej, zastosowanych na podstawie zgody, o kt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  <w:lang w:val="es-ES_tradnl"/>
        </w:rPr>
        <w:t>ó</w:t>
      </w: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 xml:space="preserve">rej mowa w art. 6c pkt 1 lub 2 ustawy z dnia 24 sierpnia 1991 r. o ochronie przeciwpożarowej, w zakresie rozwiązań objętych projektem zagospodarowania działki lub terenu; </w:t>
      </w:r>
    </w:p>
    <w:p>
      <w:pPr>
        <w:pStyle w:val="Bezodstpw"/>
        <w:spacing w:lineRule="auto" w:line="276"/>
        <w:jc w:val="both"/>
        <w:rPr>
          <w:color w:val="000000"/>
        </w:rPr>
      </w:pPr>
      <w:r>
        <w:rPr>
          <w:rFonts w:cs="Calibri" w:ascii="Arial" w:hAnsi="Arial"/>
          <w:color w:val="000000"/>
          <w:sz w:val="24"/>
          <w:szCs w:val="24"/>
        </w:rPr>
        <w:t>W przedmiotowym obiekcie nie zastosowano rozwiązań zamiennych w stosunku do wymagań ochrony przeciwpożarowej.</w:t>
      </w:r>
    </w:p>
    <w:p>
      <w:pPr>
        <w:pStyle w:val="Tekstpodstawowy"/>
        <w:suppressAutoHyphens w:val="true"/>
        <w:spacing w:before="0" w:after="0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ekstpodstawowy"/>
        <w:suppressAutoHyphens w:val="true"/>
        <w:spacing w:before="0" w:after="0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ekstpodstawowy"/>
        <w:suppressAutoHyphens w:val="true"/>
        <w:spacing w:before="0" w:after="0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Tekstpodstawowy"/>
        <w:suppressAutoHyphens w:val="true"/>
        <w:spacing w:before="0" w:after="0"/>
        <w:jc w:val="right"/>
        <w:rPr/>
      </w:pPr>
      <w:r>
        <w:rPr>
          <w:rStyle w:val="Domylnaczcionkaakapitu"/>
          <w:rFonts w:ascii="Arial" w:hAnsi="Arial"/>
          <w:color w:val="000000"/>
        </w:rPr>
        <w:tab/>
        <w:tab/>
        <w:tab/>
        <w:tab/>
        <w:tab/>
        <w:tab/>
        <w:tab/>
        <w:tab/>
        <w:t>opracował:</w:t>
      </w:r>
    </w:p>
    <w:p>
      <w:pPr>
        <w:pStyle w:val="Tretekstu"/>
        <w:suppressAutoHyphens w:val="true"/>
        <w:spacing w:before="0" w:after="0"/>
        <w:jc w:val="right"/>
        <w:rPr/>
      </w:pPr>
      <w:r>
        <w:rPr>
          <w:rStyle w:val="Domylnaczcionkaakapitu"/>
          <w:rFonts w:eastAsia="NSimSun" w:cs="Lucida San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4"/>
          <w:sz w:val="24"/>
          <w:szCs w:val="24"/>
          <w:u w:val="none"/>
          <w:vertAlign w:val="baseline"/>
          <w:em w:val="none"/>
          <w:lang w:val="pl-PL" w:eastAsia="zh-CN" w:bidi="hi-IN"/>
        </w:rPr>
        <w:t>inż. arch. Dariusz Zniszczoł</w:t>
      </w:r>
      <w:r>
        <w:br w:type="page"/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ny"/>
        <w:suppressAutoHyphens w:val="true"/>
        <w:spacing w:lineRule="auto" w:line="360"/>
        <w:jc w:val="center"/>
        <w:rPr/>
      </w:pPr>
      <w:r>
        <w:rPr>
          <w:rStyle w:val="Domylnaczcionkaakapitu"/>
          <w:rFonts w:ascii="Arial" w:hAnsi="Arial"/>
          <w:b/>
          <w:bCs/>
          <w:color w:val="000000"/>
          <w:sz w:val="40"/>
          <w:szCs w:val="40"/>
        </w:rPr>
        <w:t>II. CZĘŚĆ RYSUNKOWA</w:t>
      </w:r>
    </w:p>
    <w:p>
      <w:pPr>
        <w:pStyle w:val="Normalny"/>
        <w:suppressAutoHyphens w:val="true"/>
        <w:spacing w:lineRule="auto" w:line="360"/>
        <w:jc w:val="center"/>
        <w:rPr>
          <w:rFonts w:ascii="Arial" w:hAnsi="Arial"/>
          <w:color w:val="000000"/>
          <w:sz w:val="40"/>
          <w:szCs w:val="40"/>
        </w:rPr>
      </w:pPr>
      <w:r>
        <w:rPr>
          <w:rFonts w:ascii="Arial" w:hAnsi="Arial"/>
          <w:color w:val="000000"/>
          <w:sz w:val="40"/>
          <w:szCs w:val="4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ny"/>
        <w:suppressAutoHyphens w:val="true"/>
        <w:spacing w:lineRule="auto" w:line="360"/>
        <w:jc w:val="both"/>
        <w:rPr/>
      </w:pPr>
      <w:r>
        <w:rPr/>
      </w:r>
    </w:p>
    <w:sectPr>
      <w:footerReference w:type="default" r:id="rId4"/>
      <w:type w:val="nextPage"/>
      <w:pgSz w:w="11906" w:h="16838"/>
      <w:pgMar w:left="1134" w:right="1134" w:header="0" w:top="1134" w:footer="1134" w:bottom="1659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 Narrow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ArialMT">
    <w:charset w:val="ee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/>
    </w:pPr>
    <w:r>
      <w:rPr>
        <w:rFonts w:ascii="Arial" w:hAnsi="Arial"/>
        <w:sz w:val="21"/>
        <w:szCs w:val="21"/>
      </w:rPr>
      <w:fldChar w:fldCharType="begin"/>
    </w:r>
    <w:r>
      <w:rPr>
        <w:sz w:val="21"/>
        <w:szCs w:val="21"/>
        <w:rFonts w:ascii="Arial" w:hAnsi="Arial"/>
      </w:rPr>
      <w:instrText> PAGE </w:instrText>
    </w:r>
    <w:r>
      <w:rPr>
        <w:sz w:val="21"/>
        <w:szCs w:val="21"/>
        <w:rFonts w:ascii="Arial" w:hAnsi="Arial"/>
      </w:rPr>
      <w:fldChar w:fldCharType="separate"/>
    </w:r>
    <w:r>
      <w:rPr>
        <w:sz w:val="21"/>
        <w:szCs w:val="21"/>
        <w:rFonts w:ascii="Arial" w:hAnsi="Arial"/>
      </w:rPr>
      <w:t>36</w:t>
    </w:r>
    <w:r>
      <w:rPr>
        <w:sz w:val="21"/>
        <w:szCs w:val="21"/>
        <w:rFonts w:ascii="Arial" w:hAnsi="Arial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/>
    </w:pPr>
    <w:r>
      <w:rPr>
        <w:rFonts w:ascii="Arial" w:hAnsi="Arial"/>
        <w:sz w:val="21"/>
        <w:szCs w:val="21"/>
      </w:rPr>
      <w:fldChar w:fldCharType="begin"/>
    </w:r>
    <w:r>
      <w:rPr>
        <w:sz w:val="21"/>
        <w:szCs w:val="21"/>
        <w:rFonts w:ascii="Arial" w:hAnsi="Arial"/>
      </w:rPr>
      <w:instrText> PAGE </w:instrText>
    </w:r>
    <w:r>
      <w:rPr>
        <w:sz w:val="21"/>
        <w:szCs w:val="21"/>
        <w:rFonts w:ascii="Arial" w:hAnsi="Arial"/>
      </w:rPr>
      <w:fldChar w:fldCharType="separate"/>
    </w:r>
    <w:r>
      <w:rPr>
        <w:sz w:val="21"/>
        <w:szCs w:val="21"/>
        <w:rFonts w:ascii="Arial" w:hAnsi="Arial"/>
      </w:rPr>
      <w:t>36</w:t>
    </w:r>
    <w:r>
      <w:rPr>
        <w:sz w:val="21"/>
        <w:szCs w:val="21"/>
        <w:rFonts w:ascii="Arial" w:hAnsi="Arial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lowerLetter"/>
      <w:lvlText w:val="%1"/>
      <w:lvlJc w:val="left"/>
      <w:pPr>
        <w:tabs>
          <w:tab w:val="num" w:pos="360"/>
        </w:tabs>
        <w:ind w:left="1049" w:hanging="405"/>
      </w:pPr>
    </w:lvl>
    <w:lvl w:ilvl="1">
      <w:start w:val="1"/>
      <w:numFmt w:val="lowerLetter"/>
      <w:lvlText w:val="%1.%2"/>
      <w:lvlJc w:val="left"/>
      <w:pPr>
        <w:tabs>
          <w:tab w:val="num" w:pos="360"/>
        </w:tabs>
        <w:ind w:left="1724" w:hanging="360"/>
      </w:pPr>
    </w:lvl>
    <w:lvl w:ilvl="2">
      <w:start w:val="1"/>
      <w:numFmt w:val="lowerRoman"/>
      <w:lvlText w:val="%2.%3"/>
      <w:lvlJc w:val="right"/>
      <w:pPr>
        <w:tabs>
          <w:tab w:val="num" w:pos="360"/>
        </w:tabs>
        <w:ind w:left="2444" w:hanging="180"/>
      </w:pPr>
    </w:lvl>
    <w:lvl w:ilvl="3">
      <w:start w:val="1"/>
      <w:numFmt w:val="decimal"/>
      <w:lvlText w:val="%3.%4"/>
      <w:lvlJc w:val="left"/>
      <w:pPr>
        <w:tabs>
          <w:tab w:val="num" w:pos="360"/>
        </w:tabs>
        <w:ind w:left="3164" w:hanging="360"/>
      </w:pPr>
    </w:lvl>
    <w:lvl w:ilvl="4">
      <w:start w:val="1"/>
      <w:numFmt w:val="lowerLetter"/>
      <w:lvlText w:val="%4.%5"/>
      <w:lvlJc w:val="left"/>
      <w:pPr>
        <w:tabs>
          <w:tab w:val="num" w:pos="360"/>
        </w:tabs>
        <w:ind w:left="3884" w:hanging="360"/>
      </w:pPr>
    </w:lvl>
    <w:lvl w:ilvl="5">
      <w:start w:val="1"/>
      <w:numFmt w:val="lowerRoman"/>
      <w:lvlText w:val="%5.%6"/>
      <w:lvlJc w:val="right"/>
      <w:pPr>
        <w:tabs>
          <w:tab w:val="num" w:pos="360"/>
        </w:tabs>
        <w:ind w:left="4604" w:hanging="180"/>
      </w:pPr>
    </w:lvl>
    <w:lvl w:ilvl="6">
      <w:start w:val="1"/>
      <w:numFmt w:val="decimal"/>
      <w:lvlText w:val="%6.%7"/>
      <w:lvlJc w:val="left"/>
      <w:pPr>
        <w:tabs>
          <w:tab w:val="num" w:pos="360"/>
        </w:tabs>
        <w:ind w:left="5324" w:hanging="360"/>
      </w:pPr>
    </w:lvl>
    <w:lvl w:ilvl="7">
      <w:start w:val="1"/>
      <w:numFmt w:val="lowerLetter"/>
      <w:lvlText w:val="%7.%8"/>
      <w:lvlJc w:val="left"/>
      <w:pPr>
        <w:tabs>
          <w:tab w:val="num" w:pos="360"/>
        </w:tabs>
        <w:ind w:left="6044" w:hanging="360"/>
      </w:pPr>
    </w:lvl>
    <w:lvl w:ilvl="8">
      <w:start w:val="1"/>
      <w:numFmt w:val="lowerRoman"/>
      <w:lvlText w:val="%8.%9"/>
      <w:lvlJc w:val="right"/>
      <w:pPr>
        <w:tabs>
          <w:tab w:val="num" w:pos="360"/>
        </w:tabs>
        <w:ind w:left="6764" w:hanging="180"/>
      </w:p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720"/>
        </w:tabs>
        <w:ind w:left="257" w:hanging="14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bullet"/>
      <w:lvlText w:val="ē"/>
      <w:lvlJc w:val="left"/>
      <w:pPr>
        <w:tabs>
          <w:tab w:val="num" w:pos="1080"/>
        </w:tabs>
        <w:ind w:left="118" w:hanging="144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ē"/>
      <w:lvlJc w:val="left"/>
      <w:pPr>
        <w:tabs>
          <w:tab w:val="num" w:pos="1440"/>
        </w:tabs>
        <w:ind w:left="1255" w:hanging="144"/>
      </w:pPr>
      <w:rPr>
        <w:rFonts w:ascii="Liberation Serif" w:hAnsi="Liberation Serif" w:cs="Liberation Serif" w:hint="default"/>
        <w:rFonts w:cs="Liberation Serif"/>
      </w:rPr>
    </w:lvl>
    <w:lvl w:ilvl="3">
      <w:start w:val="1"/>
      <w:numFmt w:val="bullet"/>
      <w:lvlText w:val="ē"/>
      <w:lvlJc w:val="left"/>
      <w:pPr>
        <w:tabs>
          <w:tab w:val="num" w:pos="1800"/>
        </w:tabs>
        <w:ind w:left="2251" w:hanging="144"/>
      </w:pPr>
      <w:rPr>
        <w:rFonts w:ascii="Liberation Serif" w:hAnsi="Liberation Serif" w:cs="Liberation Serif" w:hint="default"/>
        <w:rFonts w:cs="Liberation Serif"/>
      </w:rPr>
    </w:lvl>
    <w:lvl w:ilvl="4">
      <w:start w:val="1"/>
      <w:numFmt w:val="bullet"/>
      <w:lvlText w:val="ē"/>
      <w:lvlJc w:val="left"/>
      <w:pPr>
        <w:tabs>
          <w:tab w:val="num" w:pos="2160"/>
        </w:tabs>
        <w:ind w:left="3246" w:hanging="144"/>
      </w:pPr>
      <w:rPr>
        <w:rFonts w:ascii="Liberation Serif" w:hAnsi="Liberation Serif" w:cs="Liberation Serif" w:hint="default"/>
        <w:rFonts w:cs="Liberation Serif"/>
      </w:rPr>
    </w:lvl>
    <w:lvl w:ilvl="5">
      <w:start w:val="1"/>
      <w:numFmt w:val="bullet"/>
      <w:lvlText w:val="ē"/>
      <w:lvlJc w:val="left"/>
      <w:pPr>
        <w:tabs>
          <w:tab w:val="num" w:pos="2520"/>
        </w:tabs>
        <w:ind w:left="4242" w:hanging="144"/>
      </w:pPr>
      <w:rPr>
        <w:rFonts w:ascii="Liberation Serif" w:hAnsi="Liberation Serif" w:cs="Liberation Serif" w:hint="default"/>
        <w:rFonts w:cs="Liberation Serif"/>
      </w:rPr>
    </w:lvl>
    <w:lvl w:ilvl="6">
      <w:start w:val="1"/>
      <w:numFmt w:val="bullet"/>
      <w:lvlText w:val="ē"/>
      <w:lvlJc w:val="left"/>
      <w:pPr>
        <w:tabs>
          <w:tab w:val="num" w:pos="2880"/>
        </w:tabs>
        <w:ind w:left="5237" w:hanging="144"/>
      </w:pPr>
      <w:rPr>
        <w:rFonts w:ascii="Liberation Serif" w:hAnsi="Liberation Serif" w:cs="Liberation Serif" w:hint="default"/>
        <w:rFonts w:cs="Liberation Serif"/>
      </w:rPr>
    </w:lvl>
    <w:lvl w:ilvl="7">
      <w:start w:val="1"/>
      <w:numFmt w:val="bullet"/>
      <w:lvlText w:val="ē"/>
      <w:lvlJc w:val="left"/>
      <w:pPr>
        <w:tabs>
          <w:tab w:val="num" w:pos="3240"/>
        </w:tabs>
        <w:ind w:left="6233" w:hanging="144"/>
      </w:pPr>
      <w:rPr>
        <w:rFonts w:ascii="Liberation Serif" w:hAnsi="Liberation Serif" w:cs="Liberation Serif" w:hint="default"/>
        <w:rFonts w:cs="Liberation Serif"/>
      </w:rPr>
    </w:lvl>
    <w:lvl w:ilvl="8">
      <w:start w:val="1"/>
      <w:numFmt w:val="bullet"/>
      <w:lvlText w:val="ē"/>
      <w:lvlJc w:val="left"/>
      <w:pPr>
        <w:tabs>
          <w:tab w:val="num" w:pos="3600"/>
        </w:tabs>
        <w:ind w:left="7228" w:hanging="144"/>
      </w:pPr>
      <w:rPr>
        <w:rFonts w:ascii="Liberation Serif" w:hAnsi="Liberation Serif" w:cs="Liberation Serif" w:hint="default"/>
        <w:rFonts w:cs="Liberation Serif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0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2">
    <w:name w:val="Heading 2"/>
    <w:basedOn w:val="Gwka"/>
    <w:next w:val="Tretekstu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Nagwek3">
    <w:name w:val="Heading 3"/>
    <w:basedOn w:val="Gwka"/>
    <w:next w:val="Tretekstu"/>
    <w:qFormat/>
    <w:pPr>
      <w:spacing w:before="140" w:after="0"/>
      <w:outlineLvl w:val="2"/>
    </w:pPr>
    <w:rPr>
      <w:rFonts w:ascii="Liberation Serif" w:hAnsi="Liberation Serif" w:eastAsia="NSimSun" w:cs="Arial"/>
      <w:b/>
      <w:bCs/>
    </w:rPr>
  </w:style>
  <w:style w:type="character" w:styleId="DefaultParagraphFont">
    <w:name w:val="Default Paragraph Font"/>
    <w:qFormat/>
    <w:rPr/>
  </w:style>
  <w:style w:type="character" w:styleId="Czeinternetowe">
    <w:name w:val="Łącze internetowe"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kstkomentarzaZnak">
    <w:name w:val="Tekst komentarza Znak"/>
    <w:basedOn w:val="DefaultParagraphFont"/>
    <w:qFormat/>
    <w:rPr>
      <w:rFonts w:cs="Mangal"/>
      <w:szCs w:val="18"/>
    </w:rPr>
  </w:style>
  <w:style w:type="character" w:styleId="TematkomentarzaZnak">
    <w:name w:val="Temat komentarza Znak"/>
    <w:basedOn w:val="TekstkomentarzaZnak"/>
    <w:qFormat/>
    <w:rPr>
      <w:rFonts w:cs="Mangal"/>
      <w:b/>
      <w:bCs/>
      <w:szCs w:val="18"/>
    </w:rPr>
  </w:style>
  <w:style w:type="character" w:styleId="TekstdymkaZnak">
    <w:name w:val="Tekst dymka Znak"/>
    <w:basedOn w:val="DefaultParagraphFont"/>
    <w:qFormat/>
    <w:rPr>
      <w:rFonts w:ascii="Segoe UI" w:hAnsi="Segoe UI" w:cs="Mangal"/>
      <w:sz w:val="18"/>
      <w:szCs w:val="16"/>
    </w:rPr>
  </w:style>
  <w:style w:type="character" w:styleId="TekstpodstawowyZnak">
    <w:name w:val="Tekst podstawowy Znak"/>
    <w:basedOn w:val="DefaultParagraphFont"/>
    <w:qFormat/>
    <w:rPr>
      <w:rFonts w:cs="0"/>
    </w:rPr>
  </w:style>
  <w:style w:type="character" w:styleId="Domylnaczcionkaakapitu">
    <w:name w:val="Domyślna czcionka akapitu"/>
    <w:qFormat/>
    <w:rPr/>
  </w:style>
  <w:style w:type="character" w:styleId="Mocnowyrniony">
    <w:name w:val="Mocno wyróżniony"/>
    <w:qFormat/>
    <w:rPr>
      <w:b/>
      <w:bCs/>
    </w:rPr>
  </w:style>
  <w:style w:type="character" w:styleId="Style81">
    <w:name w:val="style8"/>
    <w:qFormat/>
    <w:rPr/>
  </w:style>
  <w:style w:type="character" w:styleId="Appleconvertedspace">
    <w:name w:val="apple-converted-space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opka">
    <w:name w:val="Footer"/>
    <w:basedOn w:val="Gwkaistopka"/>
    <w:pPr/>
    <w:rPr/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21">
    <w:name w:val="Nagłówek 21"/>
    <w:next w:val="Czgwna"/>
    <w:qFormat/>
    <w:pPr>
      <w:widowControl/>
      <w:suppressAutoHyphens w:val="true"/>
      <w:overflowPunct w:val="true"/>
      <w:bidi w:val="0"/>
      <w:spacing w:before="0" w:after="0"/>
      <w:jc w:val="left"/>
      <w:outlineLvl w:val="1"/>
    </w:pPr>
    <w:rPr>
      <w:rFonts w:ascii="Arial Narrow" w:hAnsi="Arial Narrow" w:eastAsia="NSimSun" w:cs="Arial Unicode MS"/>
      <w:b/>
      <w:bCs/>
      <w:caps/>
      <w:color w:val="000000"/>
      <w:kern w:val="2"/>
      <w:sz w:val="24"/>
      <w:szCs w:val="24"/>
      <w:lang w:val="pl-PL" w:eastAsia="zh-CN" w:bidi="hi-IN"/>
    </w:rPr>
  </w:style>
  <w:style w:type="paragraph" w:styleId="Czgwna">
    <w:name w:val="Część główna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" w:hAnsi="Helvetica" w:eastAsia="NSimSun" w:cs="Arial Unicode MS"/>
      <w:color w:val="000000"/>
      <w:kern w:val="2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Annotationtext">
    <w:name w:val="annotation text"/>
    <w:basedOn w:val="Normal"/>
    <w:qFormat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Mangal"/>
      <w:color w:val="auto"/>
      <w:kern w:val="2"/>
      <w:sz w:val="24"/>
      <w:szCs w:val="21"/>
      <w:lang w:val="pl-PL" w:eastAsia="zh-CN" w:bidi="hi-IN"/>
    </w:rPr>
  </w:style>
  <w:style w:type="paragraph" w:styleId="BalloonText">
    <w:name w:val="Balloon Text"/>
    <w:basedOn w:val="Normal"/>
    <w:qFormat/>
    <w:pPr/>
    <w:rPr>
      <w:rFonts w:ascii="Segoe UI" w:hAnsi="Segoe UI" w:cs="Mangal"/>
      <w:sz w:val="18"/>
      <w:szCs w:val="16"/>
    </w:rPr>
  </w:style>
  <w:style w:type="paragraph" w:styleId="Zawartoramki">
    <w:name w:val="Zawartość ramki"/>
    <w:basedOn w:val="Normal"/>
    <w:qFormat/>
    <w:pPr/>
    <w:rPr/>
  </w:style>
  <w:style w:type="paragraph" w:styleId="DocumentMap">
    <w:name w:val="Document Map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2"/>
      <w:sz w:val="24"/>
      <w:szCs w:val="24"/>
      <w:lang w:val="pl-PL" w:eastAsia="zh-CN" w:bidi="hi-IN"/>
    </w:rPr>
  </w:style>
  <w:style w:type="paragraph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rFonts w:cs="Mangal"/>
      <w:szCs w:val="21"/>
    </w:rPr>
  </w:style>
  <w:style w:type="paragraph" w:styleId="Tekstpodstawowy23">
    <w:name w:val="Tekst podstawowy 23"/>
    <w:basedOn w:val="Normal"/>
    <w:qFormat/>
    <w:pPr>
      <w:spacing w:lineRule="auto" w:line="480" w:before="0" w:after="120"/>
      <w:jc w:val="both"/>
    </w:pPr>
    <w:rPr>
      <w:rFonts w:ascii="Times New Roman" w:hAnsi="Times New Roman" w:eastAsia="Times New Roman" w:cs="Calibri"/>
      <w:szCs w:val="20"/>
      <w:lang w:eastAsia="ar-SA" w:bidi="ar-SA"/>
    </w:rPr>
  </w:style>
  <w:style w:type="paragraph" w:styleId="Tekstpodstawowy21">
    <w:name w:val="Tekst podstawowy 21"/>
    <w:basedOn w:val="Normal"/>
    <w:qFormat/>
    <w:pPr>
      <w:widowControl w:val="false"/>
    </w:pPr>
    <w:rPr>
      <w:rFonts w:ascii="Arial" w:hAnsi="Arial" w:eastAsia="Times New Roman" w:cs="Arial"/>
      <w:kern w:val="0"/>
      <w:szCs w:val="20"/>
      <w:lang w:bidi="ar-SA"/>
    </w:rPr>
  </w:style>
  <w:style w:type="paragraph" w:styleId="Normalny">
    <w:name w:val="Normalny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/>
      <w:color w:val="00000A"/>
      <w:kern w:val="0"/>
      <w:sz w:val="22"/>
      <w:szCs w:val="22"/>
      <w:lang w:val="pl-PL" w:eastAsia="zh-CN" w:bidi="ar-SA"/>
    </w:rPr>
  </w:style>
  <w:style w:type="paragraph" w:styleId="Textbody">
    <w:name w:val="Text body"/>
    <w:basedOn w:val="Standard"/>
    <w:qFormat/>
    <w:pPr>
      <w:spacing w:lineRule="auto" w:line="288" w:before="0" w:after="140"/>
    </w:pPr>
    <w:rPr/>
  </w:style>
  <w:style w:type="paragraph" w:styleId="Tekstpodstawowy">
    <w:name w:val="Tekst podstawowy"/>
    <w:basedOn w:val="Normalny"/>
    <w:qFormat/>
    <w:pPr>
      <w:suppressAutoHyphens w:val="true"/>
      <w:spacing w:lineRule="auto" w:line="276" w:before="0" w:after="140"/>
    </w:pPr>
    <w:rPr/>
  </w:style>
  <w:style w:type="paragraph" w:styleId="INNEDOWOLNE">
    <w:name w:val="INNE DOWOLNE"/>
    <w:basedOn w:val="Normalny"/>
    <w:qFormat/>
    <w:pPr>
      <w:shd w:val="clear" w:fill="FFFFFF"/>
      <w:suppressAutoHyphens w:val="true"/>
    </w:pPr>
    <w:rPr/>
  </w:style>
  <w:style w:type="paragraph" w:styleId="Bezodstpw">
    <w:name w:val="Bez odstępów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ar-SA"/>
    </w:rPr>
  </w:style>
  <w:style w:type="paragraph" w:styleId="Akapitzlist">
    <w:name w:val="Akapit z listą"/>
    <w:basedOn w:val="Normalny"/>
    <w:qFormat/>
    <w:pPr>
      <w:tabs>
        <w:tab w:val="clear" w:pos="720"/>
      </w:tabs>
      <w:suppressAutoHyphens w:val="true"/>
      <w:ind w:left="720" w:right="0" w:hanging="0"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Application>LibreOffice/6.3.4.2$Windows_X86_64 LibreOffice_project/60da17e045e08f1793c57c00ba83cdfce946d0aa</Application>
  <Pages>36</Pages>
  <Words>7110</Words>
  <Characters>48643</Characters>
  <CharactersWithSpaces>55237</CharactersWithSpaces>
  <Paragraphs>736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2020-12-28T15:33:00Z</dcterms:created>
  <dc:creator>Władysław Baksza</dc:creator>
  <dc:description/>
  <dc:language>pl-PL</dc:language>
  <cp:lastModifiedBy/>
  <cp:lastPrinted>2022-05-20T11:08:28Z</cp:lastPrinted>
  <dcterms:modified xsi:type="dcterms:W3CDTF">2022-07-27T14:14:18Z</dcterms:modified>
  <cp:revision>119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